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yebrow"/>
      </w:pPr>
      <w:r>
        <w:t>ПРОГРАММА НАРОДНОГО САМОРАЗВИТИЯ</w:t>
      </w:r>
    </w:p>
    <w:p>
      <w:bookmarkStart w:id="1" w:name="pg_1"/>
      <w:pPr>
        <w:pStyle w:val="Title"/>
      </w:pPr>
      <w:r>
        <w:rPr>
          <w:sz w:val="84"/>
        </w:rPr>
        <w:t>ФЕНИКС</w:t>
      </w:r>
      <w:bookmarkEnd w:id="1"/>
    </w:p>
    <w:p>
      <w:pPr>
        <w:pStyle w:val="Eyebrow"/>
      </w:pPr>
      <w:r>
        <w:t>ЭВОЛЮЦИОННАЯ СИСТЕМА</w:t>
      </w:r>
    </w:p>
    <w:p>
      <w:pPr>
        <w:pStyle w:val="Subtitle"/>
      </w:pPr>
      <w:r>
        <w:t>ТОМ II</w:t>
      </w:r>
    </w:p>
    <w:p>
      <w:pPr>
        <w:pStyle w:val="Title"/>
      </w:pPr>
      <w:r>
        <w:t>ПРАКТИКА</w:t>
        <w:br/>
        <w:t>САМОРАЗВИТИЯ</w:t>
      </w:r>
    </w:p>
    <w:p>
      <w:pPr>
        <w:pStyle w:val="Subtitle"/>
      </w:pPr>
      <w:r>
        <w:t>От личного выбора</w:t>
        <w:br/>
        <w:t>к общему делу</w:t>
      </w:r>
    </w:p>
    <w:p>
      <w:pPr>
        <w:pStyle w:val="Eyebrow"/>
      </w:pPr>
      <w:r>
        <w:t>ЗНАНИЯ И ЭНЕРГИЯ  /  КУЛЬТУРА И НАУКА</w:t>
      </w:r>
    </w:p>
    <w:p>
      <w:pPr>
        <w:pStyle w:val="Lead"/>
      </w:pPr>
      <w:r>
        <w:t>Выбрать вопрос.</w:t>
        <w:br/>
        <w:t>Освоить способ действия.</w:t>
        <w:br/>
        <w:t>Создать работу.</w:t>
        <w:br/>
        <w:t>Проверить результат.</w:t>
        <w:br/>
        <w:t>Сохранить и передать опыт.</w:t>
      </w:r>
    </w:p>
    <w:p>
      <w:pPr/>
    </w:p>
    <w:tbl>
      <w:tblPr>
        <w:tblW w:type="auto" w:w="0"/>
        <w:jc w:val="center"/>
        <w:tblLayout w:type="fixed"/>
        <w:tblLook w:firstColumn="1" w:firstRow="1" w:lastColumn="0" w:lastRow="0" w:noHBand="0" w:noVBand="1" w:val="04A0"/>
      </w:tblPr>
      <w:tblGrid>
        <w:gridCol w:w="5216"/>
        <w:gridCol w:w="4535"/>
      </w:tblGrid>
      <w:tr>
        <w:trPr>
          <w:cantSplit/>
          <w:tblHeader/>
        </w:trPr>
        <w:tc>
          <w:tcPr>
            <w:tcW w:type="dxa" w:w="5216"/>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Содержание тома</w:t>
            </w:r>
          </w:p>
        </w:tc>
        <w:tc>
          <w:tcPr>
            <w:tcW w:type="dxa" w:w="453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Рабочая модель</w:t>
            </w:r>
          </w:p>
        </w:tc>
      </w:tr>
      <w:tr>
        <w:trPr>
          <w:cantSplit/>
        </w:trPr>
        <w:tc>
          <w:tcPr>
            <w:tcW w:type="dxa" w:w="521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Личный маршрут и наставничество</w:t>
            </w:r>
          </w:p>
        </w:tc>
        <w:tc>
          <w:tcPr>
            <w:tcW w:type="dxa" w:w="45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Один выбранный результат за цикл</w:t>
            </w:r>
          </w:p>
        </w:tc>
      </w:tr>
      <w:tr>
        <w:trPr>
          <w:cantSplit/>
        </w:trPr>
        <w:tc>
          <w:tcPr>
            <w:tcW w:type="dxa" w:w="521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Культурная и исследовательская практика</w:t>
            </w:r>
          </w:p>
        </w:tc>
        <w:tc>
          <w:tcPr>
            <w:tcW w:type="dxa" w:w="45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12 недель / 36 часов — пример для согласования</w:t>
            </w:r>
          </w:p>
        </w:tc>
      </w:tr>
      <w:tr>
        <w:trPr>
          <w:cantSplit/>
        </w:trPr>
        <w:tc>
          <w:tcPr>
            <w:tcW w:type="dxa" w:w="521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Мастерские, проекты и формуляры</w:t>
            </w:r>
          </w:p>
        </w:tc>
        <w:tc>
          <w:tcPr>
            <w:tcW w:type="dxa" w:w="45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19 направлений / 13 полей / 20 проверок</w:t>
            </w:r>
          </w:p>
        </w:tc>
      </w:tr>
    </w:tbl>
    <w:p>
      <w:pPr>
        <w:pStyle w:val="Small"/>
        <w:spacing w:after="20"/>
      </w:pPr>
    </w:p>
    <w:p>
      <w:pPr>
        <w:pStyle w:val="Small"/>
      </w:pPr>
      <w:r>
        <w:t>Практическое продолжение документа «ФЕНИКС — Основы». Том не назначает человеку жизненную цель и не связывает его достоинство с показателями деятельности.</w:t>
      </w:r>
    </w:p>
    <w:p>
      <w:pPr>
        <w:pStyle w:val="Small"/>
      </w:pPr>
      <w:r>
        <w:t>Методический проект. Не нормативный акт, не государственная программа и не документ о квалификации.</w:t>
      </w:r>
    </w:p>
    <w:p>
      <w:r>
        <w:br w:type="page"/>
      </w:r>
    </w:p>
    <w:p>
      <w:pPr>
        <w:pStyle w:val="Eyebrow"/>
      </w:pPr>
      <w:r>
        <w:t>ПАСПОРТ И ПРЕЕМСТВЕННОСТЬ</w:t>
      </w:r>
    </w:p>
    <w:p>
      <w:bookmarkStart w:id="2" w:name="pg_2"/>
      <w:pPr>
        <w:pStyle w:val="Heading1"/>
      </w:pPr>
      <w:r>
        <w:t>Как устроен второй том</w:t>
      </w:r>
      <w:bookmarkEnd w:id="2"/>
    </w:p>
    <w:p>
      <w:pPr>
        <w:pStyle w:val="Lead"/>
      </w:pPr>
      <w:r>
        <w:t>«Основы» определяют принципы и общий язык. Этот том переводит их в последовательность действий: от первого разговора до принятой работы и следующего цикла.</w:t>
      </w:r>
    </w:p>
    <w:tbl>
      <w:tblPr>
        <w:tblW w:type="auto" w:w="0"/>
        <w:jc w:val="center"/>
        <w:tblLayout w:type="fixed"/>
        <w:tblLook w:firstColumn="1" w:firstRow="1" w:lastColumn="0" w:lastRow="0" w:noHBand="0" w:noVBand="1" w:val="04A0"/>
      </w:tblPr>
      <w:tblGrid>
        <w:gridCol w:w="2268"/>
        <w:gridCol w:w="7483"/>
      </w:tblGrid>
      <w:tr>
        <w:trPr>
          <w:cantSplit/>
          <w:tblHeader/>
        </w:trPr>
        <w:tc>
          <w:tcPr>
            <w:tcW w:type="dxa" w:w="2268"/>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Поле</w:t>
            </w:r>
          </w:p>
        </w:tc>
        <w:tc>
          <w:tcPr>
            <w:tcW w:type="dxa" w:w="7483"/>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Содержание</w:t>
            </w:r>
          </w:p>
        </w:tc>
      </w:tr>
      <w:tr>
        <w:trPr>
          <w:cantSplit/>
        </w:trPr>
        <w:tc>
          <w:tcPr>
            <w:tcW w:type="dxa" w:w="226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Код / версия</w:t>
            </w:r>
          </w:p>
        </w:tc>
        <w:tc>
          <w:tcPr>
            <w:tcW w:type="dxa" w:w="748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FEN-PRC-002 / 1.0 / 17 сентября 2026 года</w:t>
            </w:r>
          </w:p>
        </w:tc>
      </w:tr>
      <w:tr>
        <w:trPr>
          <w:cantSplit/>
        </w:trPr>
        <w:tc>
          <w:tcPr>
            <w:tcW w:type="dxa" w:w="226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Место в серии</w:t>
            </w:r>
          </w:p>
        </w:tc>
        <w:tc>
          <w:tcPr>
            <w:tcW w:type="dxa" w:w="748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Том II; «Основы» используются как базовый том, без изменения их исходного кода FEN-BAS-001.</w:t>
            </w:r>
          </w:p>
        </w:tc>
      </w:tr>
      <w:tr>
        <w:trPr>
          <w:cantSplit/>
        </w:trPr>
        <w:tc>
          <w:tcPr>
            <w:tcW w:type="dxa" w:w="226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Для кого</w:t>
            </w:r>
          </w:p>
        </w:tc>
        <w:tc>
          <w:tcPr>
            <w:tcW w:type="dxa" w:w="748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Взрослый участник, наставник, организатор мастерской, проверяющий и хранитель материалов.</w:t>
            </w:r>
          </w:p>
        </w:tc>
      </w:tr>
      <w:tr>
        <w:trPr>
          <w:cantSplit/>
        </w:trPr>
        <w:tc>
          <w:tcPr>
            <w:tcW w:type="dxa" w:w="226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Статус</w:t>
            </w:r>
          </w:p>
        </w:tc>
        <w:tc>
          <w:tcPr>
            <w:tcW w:type="dxa" w:w="748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Предлагаемая методика. Сроки, форматы и критерии утверждаются для конкретной площадки отдельно.</w:t>
            </w:r>
          </w:p>
        </w:tc>
      </w:tr>
      <w:tr>
        <w:trPr>
          <w:cantSplit/>
        </w:trPr>
        <w:tc>
          <w:tcPr>
            <w:tcW w:type="dxa" w:w="226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Что не меняется</w:t>
            </w:r>
          </w:p>
        </w:tc>
        <w:tc>
          <w:tcPr>
            <w:tcW w:type="dxa" w:w="748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P01–P13, D01–D19, M01–M13, Q01–Q20; пять этапов ФЕНИКС; добровольность и право на пересмотр.</w:t>
            </w:r>
          </w:p>
        </w:tc>
      </w:tr>
      <w:tr>
        <w:trPr>
          <w:cantSplit/>
        </w:trPr>
        <w:tc>
          <w:tcPr>
            <w:tcW w:type="dxa" w:w="226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Что добавлено</w:t>
            </w:r>
          </w:p>
        </w:tc>
        <w:tc>
          <w:tcPr>
            <w:tcW w:type="dxa" w:w="748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Сценарии занятий, недельный маршрут, каталог практики, три учебных проекта и восемь рабочих форм.</w:t>
            </w:r>
          </w:p>
        </w:tc>
      </w:tr>
    </w:tbl>
    <w:p>
      <w:pPr>
        <w:pStyle w:val="Small"/>
        <w:spacing w:after="20"/>
      </w:pPr>
    </w:p>
    <w:p>
      <w:pPr>
        <w:pStyle w:val="Heading2"/>
      </w:pPr>
      <w:r>
        <w:t>Три способа чтения</w:t>
      </w:r>
    </w:p>
    <w:p>
      <w:pPr/>
      <w:r>
        <w:t>Участнику: начать с личной задачи, выбрать одну практику и заполнить форму А. Наставнику: прочитать главы о занятии, обратной связи и критериях; затем вместе с участником уточнить паспорт. Организатору: проверить площадку, роли, ресурсы, правовые основания и способ рассмотрения обращений.</w:t>
      </w:r>
    </w:p>
    <w:p>
      <w:pPr>
        <w:pStyle w:val="Heading2"/>
      </w:pPr>
      <w:r>
        <w:t>Не нужно заполнять всю систему сразу</w:t>
      </w:r>
    </w:p>
    <w:p>
      <w:pPr/>
      <w:r>
        <w:t>Для первого безопасного шага достаточно вопроса, небольшого результата, источника, времени и договорённости о проверке. Полный паспорт нужен до организованного проекта с общими ресурсами; отраслевые разрешения — до соответствующих действий.</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Правило чтения примеров</w:t>
            </w:r>
          </w:p>
          <w:p>
            <w:pPr>
              <w:spacing w:after="20"/>
            </w:pPr>
            <w:r>
              <w:t>Все ситуации, численности, расчёты и результаты с пометкой «учебный пример» созданы для объяснения метода. Это не отчёт о проведённом пилоте и не подтверждение эффективности ФЕНИКС.</w:t>
            </w:r>
          </w:p>
        </w:tc>
      </w:tr>
    </w:tbl>
    <w:p>
      <w:pPr>
        <w:pStyle w:val="Small"/>
        <w:spacing w:after="0"/>
      </w:pPr>
    </w:p>
    <w:p>
      <w:pPr>
        <w:pStyle w:val="Small"/>
      </w:pPr>
      <w:r>
        <w:t>Дети и подростки не включаются в описанный базовый формат автоматически: для них проектируется отдельная возрастная версия с проверкой применимых условий. Источники S01–S11 приведены в конце тома.</w:t>
      </w:r>
    </w:p>
    <w:p>
      <w:r>
        <w:br w:type="page"/>
      </w:r>
    </w:p>
    <w:p>
      <w:pPr>
        <w:pStyle w:val="Eyebrow"/>
      </w:pPr>
      <w:r>
        <w:t>НАВИГАЦИЯ</w:t>
      </w:r>
    </w:p>
    <w:p>
      <w:bookmarkStart w:id="3" w:name="pg_3"/>
      <w:pPr>
        <w:pStyle w:val="Heading1"/>
      </w:pPr>
      <w:r>
        <w:t>Содержание</w:t>
      </w:r>
      <w:bookmarkEnd w:id="3"/>
    </w:p>
    <w:p>
      <w:pPr>
        <w:pStyle w:val="Eyebrow"/>
        <w:spacing w:before="100" w:after="60"/>
      </w:pPr>
      <w:r>
        <w:t>I. ЛИЧНЫЙ МАРШРУТ</w:t>
      </w:r>
    </w:p>
    <w:p>
      <w:pPr>
        <w:pStyle w:val="TOC"/>
        <w:spacing w:after="40" w:line="240" w:lineRule="auto"/>
      </w:pPr>
      <w:hyperlink w:anchor="pg_4">
        <w:r>
          <w:rPr>
            <w:color w:val="173A55"/>
            <w:u w:val="single"/>
          </w:rPr>
          <w:t>01. Результат вместо обещания</w:t>
        </w:r>
      </w:hyperlink>
      <w:r>
        <w:t xml:space="preserve">  ·  4</w:t>
      </w:r>
    </w:p>
    <w:p>
      <w:pPr>
        <w:pStyle w:val="TOC"/>
        <w:spacing w:after="40" w:line="240" w:lineRule="auto"/>
      </w:pPr>
      <w:hyperlink w:anchor="pg_5">
        <w:r>
          <w:rPr>
            <w:color w:val="173A55"/>
            <w:u w:val="single"/>
          </w:rPr>
          <w:t>02. Первый разговор и личная задача</w:t>
        </w:r>
      </w:hyperlink>
      <w:r>
        <w:t xml:space="preserve">  ·  5</w:t>
      </w:r>
    </w:p>
    <w:p>
      <w:pPr>
        <w:pStyle w:val="TOC"/>
        <w:spacing w:after="40" w:line="240" w:lineRule="auto"/>
      </w:pPr>
      <w:hyperlink w:anchor="pg_6">
        <w:r>
          <w:rPr>
            <w:color w:val="173A55"/>
            <w:u w:val="single"/>
          </w:rPr>
          <w:t>03. 13 контуров: выбор, а не лестница</w:t>
        </w:r>
      </w:hyperlink>
      <w:r>
        <w:t xml:space="preserve">  ·  6</w:t>
      </w:r>
    </w:p>
    <w:p>
      <w:pPr>
        <w:pStyle w:val="TOC"/>
        <w:spacing w:after="40" w:line="240" w:lineRule="auto"/>
      </w:pPr>
      <w:hyperlink w:anchor="pg_7">
        <w:r>
          <w:rPr>
            <w:color w:val="173A55"/>
            <w:u w:val="single"/>
          </w:rPr>
          <w:t>04. Культура: контекст и собственная работа</w:t>
        </w:r>
      </w:hyperlink>
      <w:r>
        <w:t xml:space="preserve">  ·  7</w:t>
      </w:r>
    </w:p>
    <w:p>
      <w:pPr>
        <w:pStyle w:val="TOC"/>
        <w:spacing w:after="40" w:line="240" w:lineRule="auto"/>
      </w:pPr>
      <w:hyperlink w:anchor="pg_8">
        <w:r>
          <w:rPr>
            <w:color w:val="173A55"/>
            <w:u w:val="single"/>
          </w:rPr>
          <w:t>05. Наука: вопрос, метод и границы вывода</w:t>
        </w:r>
      </w:hyperlink>
      <w:r>
        <w:t xml:space="preserve">  ·  8</w:t>
      </w:r>
    </w:p>
    <w:p>
      <w:pPr>
        <w:pStyle w:val="TOC"/>
        <w:spacing w:after="40" w:line="240" w:lineRule="auto"/>
      </w:pPr>
      <w:hyperlink w:anchor="pg_9">
        <w:r>
          <w:rPr>
            <w:color w:val="173A55"/>
            <w:u w:val="single"/>
          </w:rPr>
          <w:t>06. Как устроить учебное занятие</w:t>
        </w:r>
      </w:hyperlink>
      <w:r>
        <w:t xml:space="preserve">  ·  9</w:t>
      </w:r>
    </w:p>
    <w:p>
      <w:pPr>
        <w:pStyle w:val="TOC"/>
        <w:spacing w:after="40" w:line="240" w:lineRule="auto"/>
      </w:pPr>
      <w:hyperlink w:anchor="pg_10">
        <w:r>
          <w:rPr>
            <w:color w:val="173A55"/>
            <w:u w:val="single"/>
          </w:rPr>
          <w:t>07. Наставничество и обратная связь</w:t>
        </w:r>
      </w:hyperlink>
      <w:r>
        <w:t xml:space="preserve">  ·  10</w:t>
      </w:r>
    </w:p>
    <w:p>
      <w:pPr>
        <w:pStyle w:val="TOC"/>
        <w:spacing w:after="40" w:line="240" w:lineRule="auto"/>
      </w:pPr>
      <w:hyperlink w:anchor="pg_11">
        <w:r>
          <w:rPr>
            <w:color w:val="173A55"/>
            <w:u w:val="single"/>
          </w:rPr>
          <w:t>08. Один цикл: 12 недель и 36 часов</w:t>
        </w:r>
      </w:hyperlink>
      <w:r>
        <w:t xml:space="preserve">  ·  11</w:t>
      </w:r>
    </w:p>
    <w:p>
      <w:pPr>
        <w:pStyle w:val="Eyebrow"/>
        <w:spacing w:before="100" w:after="60"/>
      </w:pPr>
      <w:r>
        <w:t>II. МАСТЕРСКАЯ И ОБЩЕЕ ДЕЛО</w:t>
      </w:r>
    </w:p>
    <w:p>
      <w:pPr>
        <w:pStyle w:val="TOC"/>
        <w:spacing w:after="40" w:line="240" w:lineRule="auto"/>
      </w:pPr>
      <w:hyperlink w:anchor="pg_12">
        <w:r>
          <w:rPr>
            <w:color w:val="173A55"/>
            <w:u w:val="single"/>
          </w:rPr>
          <w:t>09. Мастерская: роли и условия</w:t>
        </w:r>
      </w:hyperlink>
      <w:r>
        <w:t xml:space="preserve">  ·  12</w:t>
      </w:r>
    </w:p>
    <w:p>
      <w:pPr>
        <w:pStyle w:val="TOC"/>
        <w:spacing w:after="40" w:line="240" w:lineRule="auto"/>
      </w:pPr>
      <w:hyperlink w:anchor="pg_13">
        <w:r>
          <w:rPr>
            <w:color w:val="173A55"/>
            <w:u w:val="single"/>
          </w:rPr>
          <w:t>10. Проект через 13 полей паспорта</w:t>
        </w:r>
      </w:hyperlink>
      <w:r>
        <w:t xml:space="preserve">  ·  13</w:t>
      </w:r>
    </w:p>
    <w:p>
      <w:pPr>
        <w:pStyle w:val="TOC"/>
        <w:spacing w:after="40" w:line="240" w:lineRule="auto"/>
      </w:pPr>
      <w:hyperlink w:anchor="pg_14">
        <w:r>
          <w:rPr>
            <w:color w:val="173A55"/>
            <w:u w:val="single"/>
          </w:rPr>
          <w:t>11. Критерии и доказательства</w:t>
        </w:r>
      </w:hyperlink>
      <w:r>
        <w:t xml:space="preserve">  ·  14</w:t>
      </w:r>
    </w:p>
    <w:p>
      <w:pPr>
        <w:pStyle w:val="TOC"/>
        <w:spacing w:after="40" w:line="240" w:lineRule="auto"/>
      </w:pPr>
      <w:hyperlink w:anchor="pg_15">
        <w:r>
          <w:rPr>
            <w:color w:val="173A55"/>
            <w:u w:val="single"/>
          </w:rPr>
          <w:t>12. Знания, время и энергия</w:t>
        </w:r>
      </w:hyperlink>
      <w:r>
        <w:t xml:space="preserve">  ·  15</w:t>
      </w:r>
    </w:p>
    <w:p>
      <w:pPr>
        <w:pStyle w:val="TOC"/>
        <w:spacing w:after="40" w:line="240" w:lineRule="auto"/>
      </w:pPr>
      <w:hyperlink w:anchor="pg_16">
        <w:r>
          <w:rPr>
            <w:color w:val="173A55"/>
            <w:u w:val="single"/>
          </w:rPr>
          <w:t>13. Каталог практики D01–D07</w:t>
        </w:r>
      </w:hyperlink>
      <w:r>
        <w:t xml:space="preserve">  ·  16</w:t>
      </w:r>
    </w:p>
    <w:p>
      <w:pPr>
        <w:pStyle w:val="TOC"/>
        <w:spacing w:after="40" w:line="240" w:lineRule="auto"/>
      </w:pPr>
      <w:hyperlink w:anchor="pg_17">
        <w:r>
          <w:rPr>
            <w:color w:val="173A55"/>
            <w:u w:val="single"/>
          </w:rPr>
          <w:t>14. Каталог практики D08–D13</w:t>
        </w:r>
      </w:hyperlink>
      <w:r>
        <w:t xml:space="preserve">  ·  17</w:t>
      </w:r>
    </w:p>
    <w:p>
      <w:pPr>
        <w:pStyle w:val="TOC"/>
        <w:spacing w:after="40" w:line="240" w:lineRule="auto"/>
      </w:pPr>
      <w:hyperlink w:anchor="pg_18">
        <w:r>
          <w:rPr>
            <w:color w:val="173A55"/>
            <w:u w:val="single"/>
          </w:rPr>
          <w:t>15. Каталог практики D14–D19</w:t>
        </w:r>
      </w:hyperlink>
      <w:r>
        <w:t xml:space="preserve">  ·  18</w:t>
      </w:r>
    </w:p>
    <w:p>
      <w:pPr>
        <w:pStyle w:val="TOC"/>
        <w:spacing w:after="40" w:line="240" w:lineRule="auto"/>
      </w:pPr>
      <w:hyperlink w:anchor="pg_19">
        <w:r>
          <w:rPr>
            <w:color w:val="173A55"/>
            <w:u w:val="single"/>
          </w:rPr>
          <w:t>16. Проект «Один текст — два прочтения»</w:t>
        </w:r>
      </w:hyperlink>
      <w:r>
        <w:t xml:space="preserve">  ·  19</w:t>
      </w:r>
    </w:p>
    <w:p>
      <w:pPr>
        <w:pStyle w:val="TOC"/>
        <w:spacing w:after="40" w:line="240" w:lineRule="auto"/>
      </w:pPr>
      <w:hyperlink w:anchor="pg_20">
        <w:r>
          <w:rPr>
            <w:color w:val="173A55"/>
            <w:u w:val="single"/>
          </w:rPr>
          <w:t>17. Проект «Энергия учебного места»</w:t>
        </w:r>
      </w:hyperlink>
      <w:r>
        <w:t xml:space="preserve">  ·  20</w:t>
      </w:r>
    </w:p>
    <w:p>
      <w:pPr>
        <w:pStyle w:val="TOC"/>
        <w:spacing w:after="40" w:line="240" w:lineRule="auto"/>
      </w:pPr>
      <w:hyperlink w:anchor="pg_21">
        <w:r>
          <w:rPr>
            <w:color w:val="173A55"/>
            <w:u w:val="single"/>
          </w:rPr>
          <w:t>18. Проект «Живой каталог знаний»</w:t>
        </w:r>
      </w:hyperlink>
      <w:r>
        <w:t xml:space="preserve">  ·  21</w:t>
      </w:r>
    </w:p>
    <w:p>
      <w:pPr>
        <w:pStyle w:val="Eyebrow"/>
        <w:spacing w:before="100" w:after="60"/>
      </w:pPr>
      <w:r>
        <w:t>III. ПРОВЕРКА И ПРОДОЛЖЕНИЕ</w:t>
      </w:r>
    </w:p>
    <w:p>
      <w:pPr>
        <w:pStyle w:val="TOC"/>
        <w:spacing w:after="40" w:line="240" w:lineRule="auto"/>
      </w:pPr>
      <w:hyperlink w:anchor="pg_22">
        <w:r>
          <w:rPr>
            <w:color w:val="173A55"/>
            <w:u w:val="single"/>
          </w:rPr>
          <w:t>19. Архив, версии и применение ИИ</w:t>
        </w:r>
      </w:hyperlink>
      <w:r>
        <w:t xml:space="preserve">  ·  22</w:t>
      </w:r>
    </w:p>
    <w:p>
      <w:pPr>
        <w:pStyle w:val="TOC"/>
        <w:spacing w:after="40" w:line="240" w:lineRule="auto"/>
      </w:pPr>
      <w:hyperlink w:anchor="pg_23">
        <w:r>
          <w:rPr>
            <w:color w:val="173A55"/>
            <w:u w:val="single"/>
          </w:rPr>
          <w:t>20. Связанные балансы без двойного счёта</w:t>
        </w:r>
      </w:hyperlink>
      <w:r>
        <w:t xml:space="preserve">  ·  23</w:t>
      </w:r>
    </w:p>
    <w:p>
      <w:pPr>
        <w:pStyle w:val="TOC"/>
        <w:spacing w:after="40" w:line="240" w:lineRule="auto"/>
      </w:pPr>
      <w:hyperlink w:anchor="pg_24">
        <w:r>
          <w:rPr>
            <w:color w:val="173A55"/>
            <w:u w:val="single"/>
          </w:rPr>
          <w:t>21. Приёмка, разногласия и исправления</w:t>
        </w:r>
      </w:hyperlink>
      <w:r>
        <w:t xml:space="preserve">  ·  24</w:t>
      </w:r>
    </w:p>
    <w:p>
      <w:pPr>
        <w:pStyle w:val="TOC"/>
        <w:spacing w:after="40" w:line="240" w:lineRule="auto"/>
      </w:pPr>
      <w:hyperlink w:anchor="pg_25">
        <w:r>
          <w:rPr>
            <w:color w:val="173A55"/>
            <w:u w:val="single"/>
          </w:rPr>
          <w:t>22. Российская часть: подготовка запуска</w:t>
        </w:r>
      </w:hyperlink>
      <w:r>
        <w:t xml:space="preserve">  ·  25</w:t>
      </w:r>
    </w:p>
    <w:p>
      <w:pPr>
        <w:pStyle w:val="TOC"/>
        <w:spacing w:after="40" w:line="240" w:lineRule="auto"/>
      </w:pPr>
      <w:hyperlink w:anchor="pg_26">
        <w:r>
          <w:rPr>
            <w:color w:val="173A55"/>
            <w:u w:val="single"/>
          </w:rPr>
          <w:t>23. Международная мастерская</w:t>
        </w:r>
      </w:hyperlink>
      <w:r>
        <w:t xml:space="preserve">  ·  26</w:t>
      </w:r>
    </w:p>
    <w:p>
      <w:pPr>
        <w:pStyle w:val="TOC"/>
        <w:spacing w:after="40" w:line="240" w:lineRule="auto"/>
      </w:pPr>
      <w:hyperlink w:anchor="pg_27">
        <w:r>
          <w:rPr>
            <w:color w:val="173A55"/>
            <w:u w:val="single"/>
          </w:rPr>
          <w:t>24. Итоги пилота и следующий цикл</w:t>
        </w:r>
      </w:hyperlink>
      <w:r>
        <w:t xml:space="preserve">  ·  27</w:t>
      </w:r>
    </w:p>
    <w:p>
      <w:pPr>
        <w:pStyle w:val="Eyebrow"/>
        <w:spacing w:before="100" w:after="60"/>
      </w:pPr>
      <w:r>
        <w:t>РАБОЧИЕ ФОРМЫ И ИСТОЧНИКИ</w:t>
      </w:r>
    </w:p>
    <w:p>
      <w:pPr>
        <w:pStyle w:val="TOC"/>
        <w:spacing w:after="40" w:line="240" w:lineRule="auto"/>
      </w:pPr>
      <w:hyperlink w:anchor="pg_28">
        <w:r>
          <w:rPr>
            <w:color w:val="173A55"/>
            <w:u w:val="single"/>
          </w:rPr>
          <w:t>А–Д. Маршрут, источник, наблюдение, паспорт, ресурсы</w:t>
        </w:r>
      </w:hyperlink>
      <w:r>
        <w:t xml:space="preserve">  ·  28</w:t>
      </w:r>
    </w:p>
    <w:p>
      <w:pPr>
        <w:pStyle w:val="TOC"/>
        <w:spacing w:after="40" w:line="240" w:lineRule="auto"/>
      </w:pPr>
      <w:hyperlink w:anchor="pg_33">
        <w:r>
          <w:rPr>
            <w:color w:val="173A55"/>
            <w:u w:val="single"/>
          </w:rPr>
          <w:t>Е. 20 проверок готовности и результата</w:t>
        </w:r>
      </w:hyperlink>
      <w:r>
        <w:t xml:space="preserve">  ·  33</w:t>
      </w:r>
    </w:p>
    <w:p>
      <w:pPr>
        <w:pStyle w:val="TOC"/>
        <w:spacing w:after="40" w:line="240" w:lineRule="auto"/>
      </w:pPr>
      <w:hyperlink w:anchor="pg_35">
        <w:r>
          <w:rPr>
            <w:color w:val="173A55"/>
            <w:u w:val="single"/>
          </w:rPr>
          <w:t>Ж–З. Приёмка и карточка Архива</w:t>
        </w:r>
      </w:hyperlink>
      <w:r>
        <w:t xml:space="preserve">  ·  35</w:t>
      </w:r>
    </w:p>
    <w:p>
      <w:pPr>
        <w:pStyle w:val="TOC"/>
        <w:spacing w:after="40" w:line="240" w:lineRule="auto"/>
      </w:pPr>
      <w:hyperlink w:anchor="pg_37">
        <w:r>
          <w:rPr>
            <w:color w:val="173A55"/>
            <w:u w:val="single"/>
          </w:rPr>
          <w:t>Источники и реестр преемственности</w:t>
        </w:r>
      </w:hyperlink>
      <w:r>
        <w:t xml:space="preserve">  ·  37</w:t>
      </w:r>
    </w:p>
    <w:p>
      <w:pPr>
        <w:pStyle w:val="Small"/>
      </w:pPr>
      <w:r>
        <w:t>В формах оставлены поля для заполнения. Коды F-PRC-01–F-PRC-08 относятся к этому тому; номера S относятся только к его реестру источников.</w:t>
      </w:r>
    </w:p>
    <w:p>
      <w:r>
        <w:br w:type="page"/>
      </w:r>
    </w:p>
    <w:p>
      <w:pPr>
        <w:pStyle w:val="Eyebrow"/>
      </w:pPr>
      <w:r>
        <w:t>01 / ЛОГИКА ПРАКТИКИ</w:t>
      </w:r>
    </w:p>
    <w:p>
      <w:bookmarkStart w:id="4" w:name="pg_4"/>
      <w:pPr>
        <w:pStyle w:val="Heading1"/>
      </w:pPr>
      <w:r>
        <w:t>Результат вместо обещания</w:t>
      </w:r>
      <w:bookmarkEnd w:id="4"/>
    </w:p>
    <w:p>
      <w:pPr>
        <w:pStyle w:val="Lead"/>
      </w:pPr>
      <w:r>
        <w:t>Единица работы ФЕНИКС — не мероприятие и не декларация. Это выбранная задача с понятным результатом, условиями выполнения и способом проверки.</w:t>
      </w:r>
    </w:p>
    <w:p>
      <w:pPr>
        <w:pStyle w:val="Heading2"/>
      </w:pPr>
      <w:r>
        <w:t>Четыре разных вопроса</w:t>
      </w:r>
    </w:p>
    <w:tbl>
      <w:tblPr>
        <w:tblW w:type="auto" w:w="0"/>
        <w:jc w:val="center"/>
        <w:tblLayout w:type="fixed"/>
        <w:tblLook w:firstColumn="1" w:firstRow="1" w:lastColumn="0" w:lastRow="0" w:noHBand="0" w:noVBand="1" w:val="04A0"/>
      </w:tblPr>
      <w:tblGrid>
        <w:gridCol w:w="2721"/>
        <w:gridCol w:w="7030"/>
      </w:tblGrid>
      <w:tr>
        <w:trPr>
          <w:cantSplit/>
          <w:tblHeader/>
        </w:trPr>
        <w:tc>
          <w:tcPr>
            <w:tcW w:type="dxa" w:w="2721"/>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Вопрос</w:t>
            </w:r>
          </w:p>
        </w:tc>
        <w:tc>
          <w:tcPr>
            <w:tcW w:type="dxa" w:w="7030"/>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Что записать</w:t>
            </w:r>
          </w:p>
        </w:tc>
      </w:tr>
      <w:tr>
        <w:trPr>
          <w:cantSplit/>
        </w:trPr>
        <w:tc>
          <w:tcPr>
            <w:tcW w:type="dxa" w:w="272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Зачем мне это?</w:t>
            </w:r>
          </w:p>
        </w:tc>
        <w:tc>
          <w:tcPr>
            <w:tcW w:type="dxa" w:w="703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Личный смысл. Ответ принадлежит участнику и может остаться непубличным.</w:t>
            </w:r>
          </w:p>
        </w:tc>
      </w:tr>
      <w:tr>
        <w:trPr>
          <w:cantSplit/>
        </w:trPr>
        <w:tc>
          <w:tcPr>
            <w:tcW w:type="dxa" w:w="272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Что я сделаю?</w:t>
            </w:r>
          </w:p>
        </w:tc>
        <w:tc>
          <w:tcPr>
            <w:tcW w:type="dxa" w:w="703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Предъявляемая работа: карточка, текст, инструкция, журнал, эскиз, расчёт или образец.</w:t>
            </w:r>
          </w:p>
        </w:tc>
      </w:tr>
      <w:tr>
        <w:trPr>
          <w:cantSplit/>
        </w:trPr>
        <w:tc>
          <w:tcPr>
            <w:tcW w:type="dxa" w:w="272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Как поймём, что получилось?</w:t>
            </w:r>
          </w:p>
        </w:tc>
        <w:tc>
          <w:tcPr>
            <w:tcW w:type="dxa" w:w="703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Требование, метод проверки и лицо, которое рассматривает результат.</w:t>
            </w:r>
          </w:p>
        </w:tc>
      </w:tr>
      <w:tr>
        <w:trPr>
          <w:cantSplit/>
        </w:trPr>
        <w:tc>
          <w:tcPr>
            <w:tcW w:type="dxa" w:w="272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Что изменится для других?</w:t>
            </w:r>
          </w:p>
        </w:tc>
        <w:tc>
          <w:tcPr>
            <w:tcW w:type="dxa" w:w="703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Подтверждённая потребность пользователя и отдельно проверяемое применение результата.</w:t>
            </w:r>
          </w:p>
        </w:tc>
      </w:tr>
    </w:tbl>
    <w:p>
      <w:pPr>
        <w:pStyle w:val="Small"/>
        <w:spacing w:after="20"/>
      </w:pPr>
    </w:p>
    <w:p>
      <w:pPr/>
      <w:r>
        <w:t>Эти вопросы связаны, но не заменяют друг друга. Написанный текст ещё не доказывает улучшение жизни территории. Благодарность читателя не устанавливает точность расчёта. Завершённый учебный проект может быть ценным без заявления об общественном эффекте.</w:t>
      </w:r>
    </w:p>
    <w:p>
      <w:pPr>
        <w:pStyle w:val="Heading2"/>
      </w:pPr>
      <w:r>
        <w:t>Три уровня результата</w:t>
      </w:r>
    </w:p>
    <w:p>
      <w:pPr/>
      <w:r>
        <w:t>Первый — работа создана: существует конкретный файл или предмет. Второй — способ освоен: участник объясняет существенные действия и выполняет согласованную аналогичную задачу. Третий — результат использован: назван пользователь, контекст и подтверждение применения. В отчёте эти уровни учитываются раздельно.</w:t>
      </w:r>
    </w:p>
    <w:p>
      <w:pPr>
        <w:pStyle w:val="Heading2"/>
      </w:pPr>
      <w:r>
        <w:t>Упражнение: уменьшить замысел до первого шага</w:t>
      </w:r>
    </w:p>
    <w:p>
      <w:pPr/>
      <w:r>
        <w:t>Исходное намерение «создать библиотеку знаний» преобразуется в задачу «подготовить четыре карточки по одному вопросу и проверить, может ли другой человек найти в них источник». Устанавливаются границы: без массового сбора данных, чужих неопубликованных материалов и обещания готовой цифровой платформы.</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Признак завершённого первого шага</w:t>
            </w:r>
          </w:p>
          <w:p>
            <w:pPr>
              <w:spacing w:after="20"/>
            </w:pPr>
            <w:r>
              <w:t>Есть работа, критерий, подтверждение и честно названное ограничение. Продолжение выбирается после разбора; оно не является обязательством перед программой.</w:t>
            </w:r>
          </w:p>
        </w:tc>
      </w:tr>
    </w:tbl>
    <w:p>
      <w:pPr>
        <w:pStyle w:val="Small"/>
        <w:spacing w:after="0"/>
      </w:pPr>
    </w:p>
    <w:p>
      <w:pPr>
        <w:pStyle w:val="Small"/>
      </w:pPr>
      <w:r>
        <w:t>Связь с «Основами»: принципы 05, 06 и 12; поля M02, M07 и M13; проверки Q04, Q05, Q19 и Q20.</w:t>
      </w:r>
    </w:p>
    <w:p>
      <w:r>
        <w:br w:type="page"/>
      </w:r>
    </w:p>
    <w:p>
      <w:pPr>
        <w:pStyle w:val="Eyebrow"/>
      </w:pPr>
      <w:r>
        <w:t>02 / НАЧАЛО МАРШРУТА</w:t>
      </w:r>
    </w:p>
    <w:p>
      <w:bookmarkStart w:id="5" w:name="pg_5"/>
      <w:pPr>
        <w:pStyle w:val="Heading1"/>
      </w:pPr>
      <w:r>
        <w:t>Первый разговор и личная задача</w:t>
      </w:r>
      <w:bookmarkEnd w:id="5"/>
    </w:p>
    <w:p>
      <w:pPr>
        <w:pStyle w:val="Lead"/>
      </w:pPr>
      <w:r>
        <w:t>Предлагаемый первый разговор занимает до 40 минут. Его цель — не собрать полную биографию, а согласовать одну посильную работу и необходимую поддержку.</w:t>
      </w:r>
    </w:p>
    <w:tbl>
      <w:tblPr>
        <w:tblW w:type="auto" w:w="0"/>
        <w:jc w:val="center"/>
        <w:tblLayout w:type="fixed"/>
        <w:tblLook w:firstColumn="1" w:firstRow="1" w:lastColumn="0" w:lastRow="0" w:noHBand="0" w:noVBand="1" w:val="04A0"/>
      </w:tblPr>
      <w:tblGrid>
        <w:gridCol w:w="3061"/>
        <w:gridCol w:w="6690"/>
      </w:tblGrid>
      <w:tr>
        <w:trPr>
          <w:cantSplit/>
          <w:tblHeader/>
        </w:trPr>
        <w:tc>
          <w:tcPr>
            <w:tcW w:type="dxa" w:w="3061"/>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Часть разговора</w:t>
            </w:r>
          </w:p>
        </w:tc>
        <w:tc>
          <w:tcPr>
            <w:tcW w:type="dxa" w:w="6690"/>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Вопрос и запись</w:t>
            </w:r>
          </w:p>
        </w:tc>
      </w:tr>
      <w:tr>
        <w:trPr>
          <w:cantSplit/>
        </w:trPr>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0–8 минут / выбор</w:t>
            </w:r>
          </w:p>
        </w:tc>
        <w:tc>
          <w:tcPr>
            <w:tcW w:type="dxa" w:w="669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Что хочется понять или научиться делать? Участник сам формулирует задачу.</w:t>
            </w:r>
          </w:p>
        </w:tc>
      </w:tr>
      <w:tr>
        <w:trPr>
          <w:cantSplit/>
        </w:trPr>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8–16 минут / результат</w:t>
            </w:r>
          </w:p>
        </w:tc>
        <w:tc>
          <w:tcPr>
            <w:tcW w:type="dxa" w:w="669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Что можно будет показать? Выбирается один выход и ориентировочный срок.</w:t>
            </w:r>
          </w:p>
        </w:tc>
      </w:tr>
      <w:tr>
        <w:trPr>
          <w:cantSplit/>
        </w:trPr>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16–24 минуты / исходная работа</w:t>
            </w:r>
          </w:p>
        </w:tc>
        <w:tc>
          <w:tcPr>
            <w:tcW w:type="dxa" w:w="669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Что уже получается? Небольшой образец выполняется без оценки личности.</w:t>
            </w:r>
          </w:p>
        </w:tc>
      </w:tr>
      <w:tr>
        <w:trPr>
          <w:cantSplit/>
        </w:trPr>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24–32 минуты / условия</w:t>
            </w:r>
          </w:p>
        </w:tc>
        <w:tc>
          <w:tcPr>
            <w:tcW w:type="dxa" w:w="669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Сколько времени доступно? Какая форма удобна? Что делать не следует?</w:t>
            </w:r>
          </w:p>
        </w:tc>
      </w:tr>
      <w:tr>
        <w:trPr>
          <w:cantSplit/>
        </w:trPr>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32–40 минут / договорённость</w:t>
            </w:r>
          </w:p>
        </w:tc>
        <w:tc>
          <w:tcPr>
            <w:tcW w:type="dxa" w:w="669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Какой следующий шаг, кто поможет и когда состоится короткий разбор?</w:t>
            </w:r>
          </w:p>
        </w:tc>
      </w:tr>
    </w:tbl>
    <w:p>
      <w:pPr>
        <w:pStyle w:val="Small"/>
        <w:spacing w:after="20"/>
      </w:pPr>
    </w:p>
    <w:p>
      <w:pPr>
        <w:pStyle w:val="Heading2"/>
      </w:pPr>
      <w:r>
        <w:t>Формулировка, пригодная для работы</w:t>
      </w:r>
    </w:p>
    <w:p>
      <w:pPr/>
      <w:r>
        <w:t>«За согласованный период я подготовлю [работу] для [пользователя или собственной задачи]. Использую [источники и средства]. Покажу [подтверждение]. Не выполняю [исключённые действия]. На разборе решу, продолжать ли маршрут». Пустые позиции обсуждаются; их не заполняет наставник от имени участника.</w:t>
      </w:r>
    </w:p>
    <w:p>
      <w:pPr>
        <w:pStyle w:val="Heading2"/>
      </w:pPr>
      <w:r>
        <w:t>Исходная работа нужна для сравнения, а не отбора людей</w:t>
      </w:r>
    </w:p>
    <w:p>
      <w:pPr/>
      <w:r>
        <w:t>Для чтения это может быть краткое объяснение текста, для расчёта — разбор одной ситуации, для ремесла — безопасный образец в допустимых условиях. Сохраняются условия и доступная помощь. Итоговая задача должна проверять тот же навык, а различия сложности — объясняться.</w:t>
      </w:r>
    </w:p>
    <w:p>
      <w:pPr>
        <w:pStyle w:val="Heading2"/>
      </w:pPr>
      <w:r>
        <w:t>Когда начать с меньшего</w:t>
      </w:r>
    </w:p>
    <w:p>
      <w:pPr/>
      <w:r>
        <w:t>Если нет времени, метод непонятен или тревожит публичность, сокращается объём и меняется формат: один абзац вместо выступления, бумажная карточка вместо онлайн-сервиса, индивидуальная встреча вместо группы. Снижение объёма не означает снижения достоинства или исключения из программы.</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Результат первой встречи</w:t>
            </w:r>
          </w:p>
          <w:p>
            <w:pPr>
              <w:spacing w:after="20"/>
            </w:pPr>
            <w:r>
              <w:t>Заполненная форма А, один основной P-контур, один основной D-код при необходимости и договорённость о ближайшем действии. Личные убеждения, диагнозы и семейные обстоятельства не требуются.</w:t>
            </w:r>
          </w:p>
        </w:tc>
      </w:tr>
    </w:tbl>
    <w:p>
      <w:pPr>
        <w:pStyle w:val="Small"/>
        <w:spacing w:after="0"/>
      </w:pPr>
    </w:p>
    <w:p>
      <w:r>
        <w:br w:type="page"/>
      </w:r>
    </w:p>
    <w:p>
      <w:pPr>
        <w:pStyle w:val="Eyebrow"/>
      </w:pPr>
      <w:r>
        <w:t>03 / ЛИЧНОЕ РАЗВИТИЕ</w:t>
      </w:r>
    </w:p>
    <w:p>
      <w:bookmarkStart w:id="6" w:name="pg_6"/>
      <w:pPr>
        <w:pStyle w:val="Heading1"/>
      </w:pPr>
      <w:r>
        <w:t>13 контуров: выбор, а не лестница</w:t>
      </w:r>
      <w:bookmarkEnd w:id="6"/>
    </w:p>
    <w:p>
      <w:pPr>
        <w:pStyle w:val="Lead"/>
      </w:pPr>
      <w:r>
        <w:t>Названия P01–P13 сохранены из «Основ». Предлагаемые действия — варианты входа; проходить все контуры или раскрывать личное содержание не нужно.</w:t>
      </w:r>
    </w:p>
    <w:tbl>
      <w:tblPr>
        <w:tblW w:type="auto" w:w="0"/>
        <w:jc w:val="center"/>
        <w:tblLayout w:type="fixed"/>
        <w:tblLook w:firstColumn="1" w:firstRow="1" w:lastColumn="0" w:lastRow="0" w:noHBand="0" w:noVBand="1" w:val="04A0"/>
      </w:tblPr>
      <w:tblGrid>
        <w:gridCol w:w="3572"/>
        <w:gridCol w:w="6180"/>
      </w:tblGrid>
      <w:tr>
        <w:trPr>
          <w:cantSplit/>
          <w:tblHeader/>
        </w:trPr>
        <w:tc>
          <w:tcPr>
            <w:tcW w:type="dxa" w:w="3572"/>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Контур</w:t>
            </w:r>
          </w:p>
        </w:tc>
        <w:tc>
          <w:tcPr>
            <w:tcW w:type="dxa" w:w="6180"/>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Предлагаемая практика</w:t>
            </w:r>
          </w:p>
        </w:tc>
      </w:tr>
      <w:tr>
        <w:trPr>
          <w:cantSplit/>
        </w:trPr>
        <w:tc>
          <w:tcPr>
            <w:tcW w:type="dxa" w:w="357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P01 / Здоровье</w:t>
            </w:r>
          </w:p>
        </w:tc>
        <w:tc>
          <w:tcPr>
            <w:tcW w:type="dxa" w:w="618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Согласовать доступную нагрузку, перерывы и условия участия; не проводить самодиагностику.</w:t>
            </w:r>
          </w:p>
        </w:tc>
      </w:tr>
      <w:tr>
        <w:trPr>
          <w:cantSplit/>
        </w:trPr>
        <w:tc>
          <w:tcPr>
            <w:tcW w:type="dxa" w:w="357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P02 / Сознание</w:t>
            </w:r>
          </w:p>
        </w:tc>
        <w:tc>
          <w:tcPr>
            <w:tcW w:type="dxa" w:w="618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Своими словами объяснить выбор задачи и возможность изменить решение.</w:t>
            </w:r>
          </w:p>
        </w:tc>
      </w:tr>
      <w:tr>
        <w:trPr>
          <w:cantSplit/>
        </w:trPr>
        <w:tc>
          <w:tcPr>
            <w:tcW w:type="dxa" w:w="357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P03 / Разум</w:t>
            </w:r>
          </w:p>
        </w:tc>
        <w:tc>
          <w:tcPr>
            <w:tcW w:type="dxa" w:w="618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Разделить в одном тексте проверенное сведение, вывод и предположение.</w:t>
            </w:r>
          </w:p>
        </w:tc>
      </w:tr>
      <w:tr>
        <w:trPr>
          <w:cantSplit/>
        </w:trPr>
        <w:tc>
          <w:tcPr>
            <w:tcW w:type="dxa" w:w="357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P04 / Эмоции</w:t>
            </w:r>
          </w:p>
        </w:tc>
        <w:tc>
          <w:tcPr>
            <w:tcW w:type="dxa" w:w="618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Выбрать удобный способ сообщить о затруднении; содержание переживаний не обязательно раскрывать.</w:t>
            </w:r>
          </w:p>
        </w:tc>
      </w:tr>
      <w:tr>
        <w:trPr>
          <w:cantSplit/>
        </w:trPr>
        <w:tc>
          <w:tcPr>
            <w:tcW w:type="dxa" w:w="357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P05 / Навыки</w:t>
            </w:r>
          </w:p>
        </w:tc>
        <w:tc>
          <w:tcPr>
            <w:tcW w:type="dxa" w:w="618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Показать одно повторяемое действие и назвать условия его безопасного выполнения.</w:t>
            </w:r>
          </w:p>
        </w:tc>
      </w:tr>
      <w:tr>
        <w:trPr>
          <w:cantSplit/>
        </w:trPr>
        <w:tc>
          <w:tcPr>
            <w:tcW w:type="dxa" w:w="357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P06 / Образование</w:t>
            </w:r>
          </w:p>
        </w:tc>
        <w:tc>
          <w:tcPr>
            <w:tcW w:type="dxa" w:w="618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Составить небольшой маршрут источников и заданий по выбранному вопросу.</w:t>
            </w:r>
          </w:p>
        </w:tc>
      </w:tr>
      <w:tr>
        <w:trPr>
          <w:cantSplit/>
        </w:trPr>
        <w:tc>
          <w:tcPr>
            <w:tcW w:type="dxa" w:w="357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P07 / Труд и мастерство</w:t>
            </w:r>
          </w:p>
        </w:tc>
        <w:tc>
          <w:tcPr>
            <w:tcW w:type="dxa" w:w="618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Предъявить исходный образец, получить замечание и подготовить исправленную работу.</w:t>
            </w:r>
          </w:p>
        </w:tc>
      </w:tr>
      <w:tr>
        <w:trPr>
          <w:cantSplit/>
        </w:trPr>
        <w:tc>
          <w:tcPr>
            <w:tcW w:type="dxa" w:w="357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P08 / Экономика и финансовая самостоятельность</w:t>
            </w:r>
          </w:p>
        </w:tc>
        <w:tc>
          <w:tcPr>
            <w:tcW w:type="dxa" w:w="618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Сопоставить план и факт времени и расходов; не брать необсуждённые обязательства.</w:t>
            </w:r>
          </w:p>
        </w:tc>
      </w:tr>
      <w:tr>
        <w:trPr>
          <w:cantSplit/>
        </w:trPr>
        <w:tc>
          <w:tcPr>
            <w:tcW w:type="dxa" w:w="357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P09 / Семья и общины</w:t>
            </w:r>
          </w:p>
        </w:tc>
        <w:tc>
          <w:tcPr>
            <w:tcW w:type="dxa" w:w="618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Согласовать совместную задачу и вклад каждого без назначения чужих обязанностей.</w:t>
            </w:r>
          </w:p>
        </w:tc>
      </w:tr>
      <w:tr>
        <w:trPr>
          <w:cantSplit/>
        </w:trPr>
        <w:tc>
          <w:tcPr>
            <w:tcW w:type="dxa" w:w="357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P10 / Творчество и культура</w:t>
            </w:r>
          </w:p>
        </w:tc>
        <w:tc>
          <w:tcPr>
            <w:tcW w:type="dxa" w:w="618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Создать текст, эскиз или культурную карточку с авторством и контекстом.</w:t>
            </w:r>
          </w:p>
        </w:tc>
      </w:tr>
      <w:tr>
        <w:trPr>
          <w:cantSplit/>
        </w:trPr>
        <w:tc>
          <w:tcPr>
            <w:tcW w:type="dxa" w:w="357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P11 / Природа и служение Земле</w:t>
            </w:r>
          </w:p>
        </w:tc>
        <w:tc>
          <w:tcPr>
            <w:tcW w:type="dxa" w:w="618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Сделать разрешённое наблюдение и отличить его от вывода о состоянии всей среды.</w:t>
            </w:r>
          </w:p>
        </w:tc>
      </w:tr>
      <w:tr>
        <w:trPr>
          <w:cantSplit/>
        </w:trPr>
        <w:tc>
          <w:tcPr>
            <w:tcW w:type="dxa" w:w="357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P12 / Духовность</w:t>
            </w:r>
          </w:p>
        </w:tc>
        <w:tc>
          <w:tcPr>
            <w:tcW w:type="dxa" w:w="618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Самостоятельно выбрать работу с личными ценностями; содержание может не фиксироваться.</w:t>
            </w:r>
          </w:p>
        </w:tc>
      </w:tr>
      <w:tr>
        <w:trPr>
          <w:cantSplit/>
        </w:trPr>
        <w:tc>
          <w:tcPr>
            <w:tcW w:type="dxa" w:w="357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P13 / Смысл и миссия жизни</w:t>
            </w:r>
          </w:p>
        </w:tc>
        <w:tc>
          <w:tcPr>
            <w:tcW w:type="dxa" w:w="618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Связать собственное намерение с одним ближайшим действием; сохранить право пересмотра.</w:t>
            </w:r>
          </w:p>
        </w:tc>
      </w:tr>
    </w:tbl>
    <w:p>
      <w:pPr>
        <w:pStyle w:val="Small"/>
        <w:spacing w:after="20"/>
      </w:pPr>
    </w:p>
    <w:p>
      <w:pPr>
        <w:pStyle w:val="Small"/>
      </w:pPr>
      <w:r>
        <w:t>У одной работы может быть несколько связей. Они не превращаются в отдельные достижения для каждого кода. Внутренний личный маршрут и публичная карточка проекта хранятся раздельно.</w:t>
      </w:r>
    </w:p>
    <w:p>
      <w:r>
        <w:br w:type="page"/>
      </w:r>
    </w:p>
    <w:p>
      <w:pPr>
        <w:pStyle w:val="Eyebrow"/>
      </w:pPr>
      <w:r>
        <w:t>04 / КУЛЬТУРА</w:t>
      </w:r>
    </w:p>
    <w:p>
      <w:bookmarkStart w:id="7" w:name="pg_7"/>
      <w:pPr>
        <w:pStyle w:val="Heading1"/>
      </w:pPr>
      <w:r>
        <w:t>Контекст и собственная работа</w:t>
      </w:r>
      <w:bookmarkEnd w:id="7"/>
    </w:p>
    <w:p>
      <w:pPr>
        <w:pStyle w:val="Lead"/>
      </w:pPr>
      <w:r>
        <w:t>Культурная практика начинается не с требования принять готовый смысл, а с внимательного знакомства с произведением, вещью, языком, памятью или способом мастерства.</w:t>
      </w:r>
    </w:p>
    <w:p>
      <w:pPr>
        <w:pStyle w:val="Heading2"/>
      </w:pPr>
      <w:r>
        <w:t>Одна работа — четыре слоя описания</w:t>
      </w:r>
    </w:p>
    <w:tbl>
      <w:tblPr>
        <w:tblW w:type="auto" w:w="0"/>
        <w:jc w:val="center"/>
        <w:tblLayout w:type="fixed"/>
        <w:tblLook w:firstColumn="1" w:firstRow="1" w:lastColumn="0" w:lastRow="0" w:noHBand="0" w:noVBand="1" w:val="04A0"/>
      </w:tblPr>
      <w:tblGrid>
        <w:gridCol w:w="2381"/>
        <w:gridCol w:w="7370"/>
      </w:tblGrid>
      <w:tr>
        <w:trPr>
          <w:cantSplit/>
          <w:tblHeader/>
        </w:trPr>
        <w:tc>
          <w:tcPr>
            <w:tcW w:type="dxa" w:w="2381"/>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Слой</w:t>
            </w:r>
          </w:p>
        </w:tc>
        <w:tc>
          <w:tcPr>
            <w:tcW w:type="dxa" w:w="7370"/>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Пример вопроса</w:t>
            </w:r>
          </w:p>
        </w:tc>
      </w:tr>
      <w:tr>
        <w:trPr>
          <w:cantSplit/>
        </w:trPr>
        <w:tc>
          <w:tcPr>
            <w:tcW w:type="dxa" w:w="238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Наблюдаемое</w:t>
            </w:r>
          </w:p>
        </w:tc>
        <w:tc>
          <w:tcPr>
            <w:tcW w:type="dxa" w:w="737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Что видно, слышно или прочитано непосредственно? Где начинается собственное описание?</w:t>
            </w:r>
          </w:p>
        </w:tc>
      </w:tr>
      <w:tr>
        <w:trPr>
          <w:cantSplit/>
        </w:trPr>
        <w:tc>
          <w:tcPr>
            <w:tcW w:type="dxa" w:w="238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Происхождение</w:t>
            </w:r>
          </w:p>
        </w:tc>
        <w:tc>
          <w:tcPr>
            <w:tcW w:type="dxa" w:w="737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Кто автор, когда создано, откуда получен материал? Что остаётся неизвестным?</w:t>
            </w:r>
          </w:p>
        </w:tc>
      </w:tr>
      <w:tr>
        <w:trPr>
          <w:cantSplit/>
        </w:trPr>
        <w:tc>
          <w:tcPr>
            <w:tcW w:type="dxa" w:w="238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Контекст</w:t>
            </w:r>
          </w:p>
        </w:tc>
        <w:tc>
          <w:tcPr>
            <w:tcW w:type="dxa" w:w="737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Для кого создавалось? Какие сведения о времени и месте подтверждены источниками?</w:t>
            </w:r>
          </w:p>
        </w:tc>
      </w:tr>
      <w:tr>
        <w:trPr>
          <w:cantSplit/>
        </w:trPr>
        <w:tc>
          <w:tcPr>
            <w:tcW w:type="dxa" w:w="238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Интерпретация</w:t>
            </w:r>
          </w:p>
        </w:tc>
        <w:tc>
          <w:tcPr>
            <w:tcW w:type="dxa" w:w="737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Как я понимаю работу? Какие детали поддерживают это прочтение? Возможны ли другие?</w:t>
            </w:r>
          </w:p>
        </w:tc>
      </w:tr>
    </w:tbl>
    <w:p>
      <w:pPr>
        <w:pStyle w:val="Small"/>
        <w:spacing w:after="20"/>
      </w:pPr>
    </w:p>
    <w:p>
      <w:pPr>
        <w:pStyle w:val="Heading2"/>
      </w:pPr>
      <w:r>
        <w:t>Практика «Два прочтения»</w:t>
      </w:r>
    </w:p>
    <w:p>
      <w:pPr/>
      <w:r>
        <w:t>Выбрать небольшой разрешённый текст или изображение. Сначала каждый участник пишет собственное объяснение. Затем пара выделяет совпадающие наблюдения и расходящиеся интерпретации. Итог — не голосование за правильное мировоззрение, а две аргументированные карточки и список вопросов к источникам.</w:t>
      </w:r>
    </w:p>
    <w:p>
      <w:pPr/>
      <w:r>
        <w:t>Автор может связать работу с семейной памятью, местным языком или ремеслом. Устный рассказ записывается как рассказ конкретного человека, а не как установленный факт обо всём сообществе. Отказ от записи или публикации принимается без требования оправдываться.</w:t>
      </w:r>
    </w:p>
    <w:p>
      <w:pPr>
        <w:pStyle w:val="Heading2"/>
      </w:pPr>
      <w:r>
        <w:t>Что рассматривается при проверке</w:t>
      </w:r>
    </w:p>
    <w:p>
      <w:pPr/>
      <w:r>
        <w:t>Точность описания исходного материала, понятное происхождение, наличие контекста, различение интерпретации и факта, уважение авторства. Эстетическое предпочтение проверяющего не становится скрытым обязательным критерием. Творческий результат может быть принят без согласия всех участников с его смыслом.</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Выход занятия</w:t>
            </w:r>
          </w:p>
          <w:p>
            <w:pPr>
              <w:spacing w:after="20"/>
            </w:pPr>
            <w:r>
              <w:t>Карточка культурной работы по форме Б: объект, авторство, источник, контекст, собственное прочтение, альтернативное объяснение и условия использования.</w:t>
            </w:r>
          </w:p>
        </w:tc>
      </w:tr>
    </w:tbl>
    <w:p>
      <w:pPr>
        <w:pStyle w:val="Small"/>
        <w:spacing w:after="0"/>
      </w:pPr>
    </w:p>
    <w:p>
      <w:pPr>
        <w:pStyle w:val="Small"/>
      </w:pPr>
      <w:r>
        <w:t>Рамочная программа ЮНЕСКО по культуре и художественному образованию 2024 года рассматривает обучение в культуре и искусстве на протяжении жизни и связи культурных и образовательных пространств. Здесь это ориентир, а процедура занятия — проектное решение ФЕНИКС. [S02]</w:t>
      </w:r>
    </w:p>
    <w:p>
      <w:r>
        <w:br w:type="page"/>
      </w:r>
    </w:p>
    <w:p>
      <w:pPr>
        <w:pStyle w:val="Eyebrow"/>
      </w:pPr>
      <w:r>
        <w:t>05 / НАУКА</w:t>
      </w:r>
    </w:p>
    <w:p>
      <w:bookmarkStart w:id="8" w:name="pg_8"/>
      <w:pPr>
        <w:pStyle w:val="Heading1"/>
      </w:pPr>
      <w:r>
        <w:t>Вопрос, метод и границы вывода</w:t>
      </w:r>
      <w:bookmarkEnd w:id="8"/>
    </w:p>
    <w:p>
      <w:pPr>
        <w:pStyle w:val="Lead"/>
      </w:pPr>
      <w:r>
        <w:t>Исследовательская практика делает путь к выводу видимым: что спросили, что наблюдали, как записали и какие объяснения остаются возможными.</w:t>
      </w:r>
    </w:p>
    <w:p>
      <w:pPr>
        <w:pStyle w:val="Heading2"/>
      </w:pPr>
      <w:r>
        <w:t>От широкого вопроса к проверяемому</w:t>
      </w:r>
    </w:p>
    <w:p>
      <w:pPr/>
      <w:r>
        <w:t>Вместо «много ли энергии тратится в учебной комнате?» — «каков расход указанного светильника при заданной продолжительности работы по выбранному источнику данных?». Второй вопрос уже, но позволяет описать метод. Удобство чтения, настроение и расход электричества изучаются раздельно.</w:t>
      </w:r>
    </w:p>
    <w:tbl>
      <w:tblPr>
        <w:tblW w:type="auto" w:w="0"/>
        <w:jc w:val="center"/>
        <w:tblLayout w:type="fixed"/>
        <w:tblLook w:firstColumn="1" w:firstRow="1" w:lastColumn="0" w:lastRow="0" w:noHBand="0" w:noVBand="1" w:val="04A0"/>
      </w:tblPr>
      <w:tblGrid>
        <w:gridCol w:w="2835"/>
        <w:gridCol w:w="6917"/>
      </w:tblGrid>
      <w:tr>
        <w:trPr>
          <w:cantSplit/>
          <w:tblHeader/>
        </w:trPr>
        <w:tc>
          <w:tcPr>
            <w:tcW w:type="dxa" w:w="283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Шаг</w:t>
            </w:r>
          </w:p>
        </w:tc>
        <w:tc>
          <w:tcPr>
            <w:tcW w:type="dxa" w:w="691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Минимальная запись</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Вопрос и границы</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Объект, период и то, чего работа не устанавливает.</w:t>
            </w:r>
          </w:p>
        </w:tc>
      </w:tr>
      <w:tr>
        <w:trPr>
          <w:cantSplit/>
        </w:trPr>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Метод до сбора данных</w:t>
            </w:r>
          </w:p>
        </w:tc>
        <w:tc>
          <w:tcPr>
            <w:tcW w:type="dxa" w:w="69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Что будет записываться, кем, в каких единицах и при каких условиях.</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Первичная запись</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Дата, источник или прибор, показание, обстоятельства и пропуски.</w:t>
            </w:r>
          </w:p>
        </w:tc>
      </w:tr>
      <w:tr>
        <w:trPr>
          <w:cantSplit/>
        </w:trPr>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Проверка записи</w:t>
            </w:r>
          </w:p>
        </w:tc>
        <w:tc>
          <w:tcPr>
            <w:tcW w:type="dxa" w:w="69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Можно ли проследить происхождение числа и повторить расчёт?</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Вывод</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Что следует из материала, что не подтверждено и какие проверки нужны дальше.</w:t>
            </w:r>
          </w:p>
        </w:tc>
      </w:tr>
    </w:tbl>
    <w:p>
      <w:pPr>
        <w:pStyle w:val="Small"/>
        <w:spacing w:after="20"/>
      </w:pPr>
    </w:p>
    <w:p>
      <w:pPr>
        <w:pStyle w:val="Heading2"/>
      </w:pPr>
      <w:r>
        <w:t>Отсутствие данных — тоже запись</w:t>
      </w:r>
    </w:p>
    <w:p>
      <w:pPr/>
      <w:r>
        <w:t>Пустое поле не заменяется нулём. Изменённые условия не прячутся в среднем значении. Необычный результат не удаляется ради ровной картины: рядом записывается возможная ошибка и способ проверки. Вывод об одной площадке не переносится автоматически на другие.</w:t>
      </w:r>
    </w:p>
    <w:p>
      <w:pPr>
        <w:pStyle w:val="Heading2"/>
      </w:pPr>
      <w:r>
        <w:t>Учебное исследование и профессиональная экспертиза</w:t>
      </w:r>
    </w:p>
    <w:p>
      <w:pPr/>
      <w:r>
        <w:t>Учебная запись показывает освоение метода, но не заменяет лабораторное заключение, медицинскую оценку, экологическую экспертизу или технический допуск. Когда для ответа нужны специальные условия, проект ограничивается описанием вопроса и подготовкой материалов для специалиста.</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Достаточный результат</w:t>
            </w:r>
          </w:p>
          <w:p>
            <w:pPr>
              <w:spacing w:after="20"/>
            </w:pPr>
            <w:r>
              <w:t>Гипотеза не подтвердилась, но вопрос, первичные данные, расчёт и ограничения описаны корректно. Это основание уточнить следующий опыт, а не объявлять участника неуспешным.</w:t>
            </w:r>
          </w:p>
        </w:tc>
      </w:tr>
    </w:tbl>
    <w:p>
      <w:pPr>
        <w:pStyle w:val="Small"/>
        <w:spacing w:after="0"/>
      </w:pPr>
    </w:p>
    <w:p>
      <w:pPr>
        <w:pStyle w:val="Small"/>
      </w:pPr>
      <w:r>
        <w:t>Прозрачность метода и ответственное повторное использование материалов соотносятся с Рекомендацией ЮНЕСКО об открытой науке 2021 года. Открытость не означает публикацию любых персональных или охраняемых сведений. [S03]</w:t>
      </w:r>
    </w:p>
    <w:p>
      <w:r>
        <w:br w:type="page"/>
      </w:r>
    </w:p>
    <w:p>
      <w:pPr>
        <w:pStyle w:val="Eyebrow"/>
      </w:pPr>
      <w:r>
        <w:t>06 / УЧЕБНАЯ ПРАКТИКА</w:t>
      </w:r>
    </w:p>
    <w:p>
      <w:bookmarkStart w:id="9" w:name="pg_9"/>
      <w:pPr>
        <w:pStyle w:val="Heading1"/>
      </w:pPr>
      <w:r>
        <w:t>Как устроить занятие</w:t>
      </w:r>
      <w:bookmarkEnd w:id="9"/>
    </w:p>
    <w:p>
      <w:pPr>
        <w:pStyle w:val="Lead"/>
      </w:pPr>
      <w:r>
        <w:t>Вместо длинного просмотра материалов предлагается короткая последовательность: вопрос, самостоятельная попытка, проверка по источнику, применение и разбор.</w:t>
      </w:r>
    </w:p>
    <w:tbl>
      <w:tblPr>
        <w:tblW w:type="auto" w:w="0"/>
        <w:jc w:val="center"/>
        <w:tblLayout w:type="fixed"/>
        <w:tblLook w:firstColumn="1" w:firstRow="1" w:lastColumn="0" w:lastRow="0" w:noHBand="0" w:noVBand="1" w:val="04A0"/>
      </w:tblPr>
      <w:tblGrid>
        <w:gridCol w:w="3402"/>
        <w:gridCol w:w="6350"/>
      </w:tblGrid>
      <w:tr>
        <w:trPr>
          <w:cantSplit/>
          <w:tblHeader/>
        </w:trPr>
        <w:tc>
          <w:tcPr>
            <w:tcW w:type="dxa" w:w="3402"/>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Пример занятия / 60 минут</w:t>
            </w:r>
          </w:p>
        </w:tc>
        <w:tc>
          <w:tcPr>
            <w:tcW w:type="dxa" w:w="6350"/>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Действие</w:t>
            </w:r>
          </w:p>
        </w:tc>
      </w:tr>
      <w:tr>
        <w:trPr>
          <w:cantSplit/>
        </w:trPr>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0–5 / задача</w:t>
            </w:r>
          </w:p>
        </w:tc>
        <w:tc>
          <w:tcPr>
            <w:tcW w:type="dxa" w:w="635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Уточнить, какой результат должен появиться к концу встречи.</w:t>
            </w:r>
          </w:p>
        </w:tc>
      </w:tr>
      <w:tr>
        <w:trPr>
          <w:cantSplit/>
        </w:trPr>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5–15 / изучение</w:t>
            </w:r>
          </w:p>
        </w:tc>
        <w:tc>
          <w:tcPr>
            <w:tcW w:type="dxa" w:w="635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Прочитать небольшой фрагмент или разобрать образец с указанием источника.</w:t>
            </w:r>
          </w:p>
        </w:tc>
      </w:tr>
      <w:tr>
        <w:trPr>
          <w:cantSplit/>
        </w:trPr>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15–20 / воспроизведение</w:t>
            </w:r>
          </w:p>
        </w:tc>
        <w:tc>
          <w:tcPr>
            <w:tcW w:type="dxa" w:w="635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Закрыть материал и объяснить смысл своими словами; то, что не вспомнилось, не выдумывать.</w:t>
            </w:r>
          </w:p>
        </w:tc>
      </w:tr>
      <w:tr>
        <w:trPr>
          <w:cantSplit/>
        </w:trPr>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20–25 / сверка</w:t>
            </w:r>
          </w:p>
        </w:tc>
        <w:tc>
          <w:tcPr>
            <w:tcW w:type="dxa" w:w="635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Вернуться к источнику и отметить пропуск, искажение или неподтверждённое утверждение.</w:t>
            </w:r>
          </w:p>
        </w:tc>
      </w:tr>
      <w:tr>
        <w:trPr>
          <w:cantSplit/>
        </w:trPr>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25–30 / перерыв</w:t>
            </w:r>
          </w:p>
        </w:tc>
        <w:tc>
          <w:tcPr>
            <w:tcW w:type="dxa" w:w="635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Сделать паузу; форму и продолжительность адаптировать при необходимости.</w:t>
            </w:r>
          </w:p>
        </w:tc>
      </w:tr>
      <w:tr>
        <w:trPr>
          <w:cantSplit/>
        </w:trPr>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30–50 / применение</w:t>
            </w:r>
          </w:p>
        </w:tc>
        <w:tc>
          <w:tcPr>
            <w:tcW w:type="dxa" w:w="635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Выполнить одну задачу: карточку, расчёт, фрагмент инструкции или разбор данных.</w:t>
            </w:r>
          </w:p>
        </w:tc>
      </w:tr>
      <w:tr>
        <w:trPr>
          <w:cantSplit/>
        </w:trPr>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50–60 / обратная связь</w:t>
            </w:r>
          </w:p>
        </w:tc>
        <w:tc>
          <w:tcPr>
            <w:tcW w:type="dxa" w:w="635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Назвать получившееся, одну необходимую правку и следующий шаг.</w:t>
            </w:r>
          </w:p>
        </w:tc>
      </w:tr>
    </w:tbl>
    <w:p>
      <w:pPr>
        <w:pStyle w:val="Small"/>
        <w:spacing w:after="20"/>
      </w:pPr>
    </w:p>
    <w:p>
      <w:pPr>
        <w:pStyle w:val="Heading2"/>
      </w:pPr>
      <w:r>
        <w:t>Возвращение к навыку</w:t>
      </w:r>
    </w:p>
    <w:p>
      <w:pPr/>
      <w:r>
        <w:t>На следующей встрече участник решает небольшую аналогичную задачу до повторного чтения. Затем сверяет способ действия и исправляет ошибку. Периодичность подбирается по доступному времени; этот том не устанавливает универсальную норму повторений.</w:t>
      </w:r>
    </w:p>
    <w:p>
      <w:pPr>
        <w:pStyle w:val="Small"/>
      </w:pPr>
      <w:r>
        <w:t>В экспериментальной работе Karpicke и Blunt (2011) авторы сообщили о преимуществах воспроизведения изученного в конкретных заданиях по научным текстам. Опубликована и методологическая критика этого сравнения. Предлагаемая здесь процедура не означает, что один метод всегда лучше другого или что эффективность программы ФЕНИКС уже доказана. [S05, S06]</w:t>
      </w:r>
    </w:p>
    <w:p>
      <w:pPr>
        <w:pStyle w:val="Heading2"/>
      </w:pPr>
      <w:r>
        <w:t>Что сохранять, чтобы видеть движение</w:t>
      </w:r>
    </w:p>
    <w:p>
      <w:pPr/>
      <w:r>
        <w:t>Первую попытку, короткую правку после сверки, выполненную задачу и пояснение участника. Заметки нужны для понимания изменений; они не превращаются в непрерывный контроль человека. Индивидуальная помощь и доступ к материалам отмечаются, если от них зависит сравнение работ.</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Результат учебной встречи</w:t>
            </w:r>
          </w:p>
          <w:p>
            <w:pPr>
              <w:spacing w:after="20"/>
            </w:pPr>
            <w:r>
              <w:t>Один пригодный для проверки фрагмент работы. Число просмотренных страниц и длительность подключения к встрече учитываются только как условия, а не как доказательство освоенного навыка.</w:t>
            </w:r>
          </w:p>
        </w:tc>
      </w:tr>
    </w:tbl>
    <w:p>
      <w:pPr>
        <w:pStyle w:val="Small"/>
        <w:spacing w:after="0"/>
      </w:pPr>
    </w:p>
    <w:p>
      <w:r>
        <w:br w:type="page"/>
      </w:r>
    </w:p>
    <w:p>
      <w:pPr>
        <w:pStyle w:val="Eyebrow"/>
      </w:pPr>
      <w:r>
        <w:t>07 / НАСТАВНИЧЕСТВО</w:t>
      </w:r>
    </w:p>
    <w:p>
      <w:bookmarkStart w:id="10" w:name="pg_10"/>
      <w:pPr>
        <w:pStyle w:val="Heading1"/>
      </w:pPr>
      <w:r>
        <w:t>Помогать, не подменяя выбор</w:t>
      </w:r>
      <w:bookmarkEnd w:id="10"/>
    </w:p>
    <w:p>
      <w:pPr>
        <w:pStyle w:val="Lead"/>
      </w:pPr>
      <w:r>
        <w:t>Наставник удерживает задачу в доступных границах, помогает с методом и делает замечания понятными. Авторство результата и решение о личном маршруте остаются у участника.</w:t>
      </w:r>
    </w:p>
    <w:p>
      <w:pPr>
        <w:pStyle w:val="Heading2"/>
      </w:pPr>
      <w:r>
        <w:t>Короткий разбор: 20–30 минут</w:t>
      </w:r>
    </w:p>
    <w:p>
      <w:pPr/>
      <w:r>
        <w:t>Участник сначала показывает работу и сам называет затруднение. Наставник уточняет критерий, отделяет наблюдаемое от впечатления, предлагает один способ исправления. В завершение участник формулирует следующий шаг своими словами; стороны согласуют срок, поддержку или паузу.</w:t>
      </w:r>
    </w:p>
    <w:tbl>
      <w:tblPr>
        <w:tblW w:type="auto" w:w="0"/>
        <w:jc w:val="center"/>
        <w:tblLayout w:type="fixed"/>
        <w:tblLook w:firstColumn="1" w:firstRow="1" w:lastColumn="0" w:lastRow="0" w:noHBand="0" w:noVBand="1" w:val="04A0"/>
      </w:tblPr>
      <w:tblGrid>
        <w:gridCol w:w="2835"/>
        <w:gridCol w:w="6917"/>
      </w:tblGrid>
      <w:tr>
        <w:trPr>
          <w:cantSplit/>
          <w:tblHeader/>
        </w:trPr>
        <w:tc>
          <w:tcPr>
            <w:tcW w:type="dxa" w:w="283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Неудачная формулировка</w:t>
            </w:r>
          </w:p>
        </w:tc>
        <w:tc>
          <w:tcPr>
            <w:tcW w:type="dxa" w:w="691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Рабочая обратная связь</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«Ты невнимательный».</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«В двух записях нет даты. Добавим её, чтобы можно было сравнить периоды».</w:t>
            </w:r>
          </w:p>
        </w:tc>
      </w:tr>
      <w:tr>
        <w:trPr>
          <w:cantSplit/>
        </w:trPr>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«Сделай красиво».</w:t>
            </w:r>
          </w:p>
        </w:tc>
        <w:tc>
          <w:tcPr>
            <w:tcW w:type="dxa" w:w="69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«Читателю нужно найти источник без дополнительного вопроса. Поставим ссылку рядом с утверждением».</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«Надо просто постараться».</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«Объём не помещается в доступное время. Выберем одну карточку вместо четырёх».</w:t>
            </w:r>
          </w:p>
        </w:tc>
      </w:tr>
      <w:tr>
        <w:trPr>
          <w:cantSplit/>
        </w:trPr>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«Я бы понял этот текст иначе».</w:t>
            </w:r>
          </w:p>
        </w:tc>
        <w:tc>
          <w:tcPr>
            <w:tcW w:type="dxa" w:w="69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«Моё прочтение отличается; покажи детали, на которых основан твой вывод».</w:t>
            </w:r>
          </w:p>
        </w:tc>
      </w:tr>
    </w:tbl>
    <w:p>
      <w:pPr>
        <w:pStyle w:val="Small"/>
        <w:spacing w:after="20"/>
      </w:pPr>
    </w:p>
    <w:p>
      <w:pPr>
        <w:pStyle w:val="Heading2"/>
      </w:pPr>
      <w:r>
        <w:t>Границы роли</w:t>
      </w:r>
    </w:p>
    <w:p>
      <w:pPr/>
      <w:r>
        <w:t>Наставничество в этом томе не включает назначение жизненной миссии, психологическую диагностику, медицинские рекомендации, финансовое консультирование или юридическое заключение. Недостаток компетенции фиксируется; задача передаётся специалисту либо сужается до безопасного учебного формата.</w:t>
      </w:r>
    </w:p>
    <w:p>
      <w:pPr>
        <w:pStyle w:val="Heading2"/>
      </w:pPr>
      <w:r>
        <w:t>Совместное авторство и конфликт интересов</w:t>
      </w:r>
    </w:p>
    <w:p>
      <w:pPr/>
      <w:r>
        <w:t>Если наставник фактически написал значительную часть работы, это отмечается в сведениях о вкладе. Для проверки самостоятельного навыка выбирается отдельная посильная задача. Приёмку спорного результата не следует сводить к единоличному решению человека, чьи действия обжалуются.</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Рабочая запись встречи</w:t>
            </w:r>
          </w:p>
          <w:p>
            <w:pPr>
              <w:spacing w:after="20"/>
            </w:pPr>
            <w:r>
              <w:t>Показанная версия → конкретное замечание → действие участника → доступная помощь → срок следующего разбора. Личные оценки и предположения о мотивах в протокол не включаются.</w:t>
            </w:r>
          </w:p>
        </w:tc>
      </w:tr>
    </w:tbl>
    <w:p>
      <w:pPr>
        <w:pStyle w:val="Small"/>
        <w:spacing w:after="0"/>
      </w:pPr>
    </w:p>
    <w:p>
      <w:r>
        <w:br w:type="page"/>
      </w:r>
    </w:p>
    <w:p>
      <w:pPr>
        <w:pStyle w:val="Eyebrow"/>
      </w:pPr>
      <w:r>
        <w:t>08 / РИТМ РАБОТЫ</w:t>
      </w:r>
    </w:p>
    <w:p>
      <w:bookmarkStart w:id="11" w:name="pg_11"/>
      <w:pPr>
        <w:pStyle w:val="Heading1"/>
      </w:pPr>
      <w:r>
        <w:t>Один цикл: 12 недель и 36 часов</w:t>
      </w:r>
      <w:bookmarkEnd w:id="11"/>
    </w:p>
    <w:p>
      <w:pPr>
        <w:pStyle w:val="Lead"/>
      </w:pPr>
      <w:r>
        <w:t>Сохраняется модель из «Основ»: 36 часов по 60 минут за 12 недель. Это пример планирования, а не обязательная норма или обещание результата.</w:t>
      </w:r>
    </w:p>
    <w:tbl>
      <w:tblPr>
        <w:tblW w:type="auto" w:w="0"/>
        <w:jc w:val="center"/>
        <w:tblLayout w:type="fixed"/>
        <w:tblLook w:firstColumn="1" w:firstRow="1" w:lastColumn="0" w:lastRow="0" w:noHBand="0" w:noVBand="1" w:val="04A0"/>
      </w:tblPr>
      <w:tblGrid>
        <w:gridCol w:w="1928"/>
        <w:gridCol w:w="4762"/>
        <w:gridCol w:w="3061"/>
      </w:tblGrid>
      <w:tr>
        <w:trPr>
          <w:cantSplit/>
          <w:tblHeader/>
        </w:trPr>
        <w:tc>
          <w:tcPr>
            <w:tcW w:type="dxa" w:w="1928"/>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Неделя / этап</w:t>
            </w:r>
          </w:p>
        </w:tc>
        <w:tc>
          <w:tcPr>
            <w:tcW w:type="dxa" w:w="4762"/>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Содержание</w:t>
            </w:r>
          </w:p>
        </w:tc>
        <w:tc>
          <w:tcPr>
            <w:tcW w:type="dxa" w:w="3061"/>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Выход</w:t>
            </w:r>
          </w:p>
        </w:tc>
      </w:tr>
      <w:tr>
        <w:trPr>
          <w:cantSplit/>
        </w:trPr>
        <w:tc>
          <w:tcPr>
            <w:tcW w:type="dxa" w:w="192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1 / Искра</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Личный вопрос, условия, небольшой исходный образец.</w:t>
            </w:r>
          </w:p>
        </w:tc>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Личный маршрут</w:t>
            </w:r>
          </w:p>
        </w:tc>
      </w:tr>
      <w:tr>
        <w:trPr>
          <w:cantSplit/>
        </w:trPr>
        <w:tc>
          <w:tcPr>
            <w:tcW w:type="dxa" w:w="192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2 / Искра</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Пользователь, границы, рабочие требования и безопасность.</w:t>
            </w:r>
          </w:p>
        </w:tc>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Паспорт и решение о старте</w:t>
            </w:r>
          </w:p>
        </w:tc>
      </w:tr>
      <w:tr>
        <w:trPr>
          <w:cantSplit/>
        </w:trPr>
        <w:tc>
          <w:tcPr>
            <w:tcW w:type="dxa" w:w="192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3 / Пламя</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Культурный контекст и первое собственное прочтение.</w:t>
            </w:r>
          </w:p>
        </w:tc>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Культурная карточка</w:t>
            </w:r>
          </w:p>
        </w:tc>
      </w:tr>
      <w:tr>
        <w:trPr>
          <w:cantSplit/>
        </w:trPr>
        <w:tc>
          <w:tcPr>
            <w:tcW w:type="dxa" w:w="192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4 / Пламя</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Проверка источников и существенных утверждений.</w:t>
            </w:r>
          </w:p>
        </w:tc>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Карточка источника</w:t>
            </w:r>
          </w:p>
        </w:tc>
      </w:tr>
      <w:tr>
        <w:trPr>
          <w:cantSplit/>
        </w:trPr>
        <w:tc>
          <w:tcPr>
            <w:tcW w:type="dxa" w:w="192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5 / Пламя</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Способ действия и пробная запись.</w:t>
            </w:r>
          </w:p>
        </w:tc>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Черновой протокол</w:t>
            </w:r>
          </w:p>
        </w:tc>
      </w:tr>
      <w:tr>
        <w:trPr>
          <w:cantSplit/>
        </w:trPr>
        <w:tc>
          <w:tcPr>
            <w:tcW w:type="dxa" w:w="192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6 / Пламя</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Небольшая самостоятельная работа и уточнение плана.</w:t>
            </w:r>
          </w:p>
        </w:tc>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Промежуточный образец</w:t>
            </w:r>
          </w:p>
        </w:tc>
      </w:tr>
      <w:tr>
        <w:trPr>
          <w:cantSplit/>
        </w:trPr>
        <w:tc>
          <w:tcPr>
            <w:tcW w:type="dxa" w:w="192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7 / Пламя → Пепел</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Основная практика; фактические затраты.</w:t>
            </w:r>
          </w:p>
        </w:tc>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Работа и первичные записи</w:t>
            </w:r>
          </w:p>
        </w:tc>
      </w:tr>
      <w:tr>
        <w:trPr>
          <w:cantSplit/>
        </w:trPr>
        <w:tc>
          <w:tcPr>
            <w:tcW w:type="dxa" w:w="192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8 / Пепел</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Проверка данных, пропусков и изменившихся условий.</w:t>
            </w:r>
          </w:p>
        </w:tc>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Перечень ограничений</w:t>
            </w:r>
          </w:p>
        </w:tc>
      </w:tr>
      <w:tr>
        <w:trPr>
          <w:cantSplit/>
        </w:trPr>
        <w:tc>
          <w:tcPr>
            <w:tcW w:type="dxa" w:w="192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9 / Пепел</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Обратная связь; проверка исходной гипотезы.</w:t>
            </w:r>
          </w:p>
        </w:tc>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Список конкретных правок</w:t>
            </w:r>
          </w:p>
        </w:tc>
      </w:tr>
      <w:tr>
        <w:trPr>
          <w:cantSplit/>
        </w:trPr>
        <w:tc>
          <w:tcPr>
            <w:tcW w:type="dxa" w:w="192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10 / Пепел</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Исправление и подготовка предъявляемой версии.</w:t>
            </w:r>
          </w:p>
        </w:tc>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Версия на приёмку</w:t>
            </w:r>
          </w:p>
        </w:tc>
      </w:tr>
      <w:tr>
        <w:trPr>
          <w:cantSplit/>
        </w:trPr>
        <w:tc>
          <w:tcPr>
            <w:tcW w:type="dxa" w:w="192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11 / Вознесение</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Проверка требований и объяснение способа действия.</w:t>
            </w:r>
          </w:p>
        </w:tc>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Протокол приёмки</w:t>
            </w:r>
          </w:p>
        </w:tc>
      </w:tr>
      <w:tr>
        <w:trPr>
          <w:cantSplit/>
        </w:trPr>
        <w:tc>
          <w:tcPr>
            <w:tcW w:type="dxa" w:w="192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12 / Полёт</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Архив, передача метода, новый вопрос или завершение.</w:t>
            </w:r>
          </w:p>
        </w:tc>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Карточка опыта и решение</w:t>
            </w:r>
          </w:p>
        </w:tc>
      </w:tr>
    </w:tbl>
    <w:p>
      <w:pPr>
        <w:pStyle w:val="Small"/>
        <w:spacing w:after="20"/>
      </w:pPr>
    </w:p>
    <w:p>
      <w:pPr>
        <w:pStyle w:val="Small"/>
      </w:pPr>
      <w:r>
        <w:t>Пример распределения каждой недели: 1 час общей встречи, 1 час самостоятельного изучения и 1 час работы над результатом. Итого: 12 + 12 + 12 = 36 часов одного участника. Перерывы входят в согласованное время встреч; фактическая нагрузка может уменьшаться.</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Переход определяется готовностью</w:t>
            </w:r>
          </w:p>
          <w:p>
            <w:pPr>
              <w:spacing w:after="20"/>
            </w:pPr>
            <w:r>
              <w:t>Срок не делает работу принятой автоматически. Возврат к источнику, сокращение объёма и пауза допускаются на любом этапе. Часы наставника и организатора учитываются отдельно от времени участника.</w:t>
            </w:r>
          </w:p>
        </w:tc>
      </w:tr>
    </w:tbl>
    <w:p>
      <w:pPr>
        <w:pStyle w:val="Small"/>
        <w:spacing w:after="0"/>
      </w:pPr>
    </w:p>
    <w:p>
      <w:r>
        <w:br w:type="page"/>
      </w:r>
    </w:p>
    <w:p>
      <w:pPr>
        <w:pStyle w:val="Eyebrow"/>
      </w:pPr>
      <w:r>
        <w:t>09 / ОРГАНИЗАЦИЯ</w:t>
      </w:r>
    </w:p>
    <w:p>
      <w:bookmarkStart w:id="12" w:name="pg_12"/>
      <w:pPr>
        <w:pStyle w:val="Heading1"/>
      </w:pPr>
      <w:r>
        <w:t>Мастерская: роли и условия</w:t>
      </w:r>
      <w:bookmarkEnd w:id="12"/>
    </w:p>
    <w:p>
      <w:pPr>
        <w:pStyle w:val="Lead"/>
      </w:pPr>
      <w:r>
        <w:t>Мастерская — согласованное место для работы и обсуждения, а не обязательная новая организация или отдельное здание. Площадка и её права подтверждаются до приглашения участников.</w:t>
      </w:r>
    </w:p>
    <w:tbl>
      <w:tblPr>
        <w:tblW w:type="auto" w:w="0"/>
        <w:jc w:val="center"/>
        <w:tblLayout w:type="fixed"/>
        <w:tblLook w:firstColumn="1" w:firstRow="1" w:lastColumn="0" w:lastRow="0" w:noHBand="0" w:noVBand="1" w:val="04A0"/>
      </w:tblPr>
      <w:tblGrid>
        <w:gridCol w:w="2381"/>
        <w:gridCol w:w="7370"/>
      </w:tblGrid>
      <w:tr>
        <w:trPr>
          <w:cantSplit/>
          <w:tblHeader/>
        </w:trPr>
        <w:tc>
          <w:tcPr>
            <w:tcW w:type="dxa" w:w="2381"/>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Роль</w:t>
            </w:r>
          </w:p>
        </w:tc>
        <w:tc>
          <w:tcPr>
            <w:tcW w:type="dxa" w:w="7370"/>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Что обеспечивает</w:t>
            </w:r>
          </w:p>
        </w:tc>
      </w:tr>
      <w:tr>
        <w:trPr>
          <w:cantSplit/>
        </w:trPr>
        <w:tc>
          <w:tcPr>
            <w:tcW w:type="dxa" w:w="238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Участник</w:t>
            </w:r>
          </w:p>
        </w:tc>
        <w:tc>
          <w:tcPr>
            <w:tcW w:type="dxa" w:w="737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Выбор задачи, собственную работу, сообщение о затруднении и право остановиться.</w:t>
            </w:r>
          </w:p>
        </w:tc>
      </w:tr>
      <w:tr>
        <w:trPr>
          <w:cantSplit/>
        </w:trPr>
        <w:tc>
          <w:tcPr>
            <w:tcW w:type="dxa" w:w="238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Наставник</w:t>
            </w:r>
          </w:p>
        </w:tc>
        <w:tc>
          <w:tcPr>
            <w:tcW w:type="dxa" w:w="737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Метод, источники, обратную связь и обозначение границ своей компетенции.</w:t>
            </w:r>
          </w:p>
        </w:tc>
      </w:tr>
      <w:tr>
        <w:trPr>
          <w:cantSplit/>
        </w:trPr>
        <w:tc>
          <w:tcPr>
            <w:tcW w:type="dxa" w:w="238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Владелец задачи</w:t>
            </w:r>
          </w:p>
        </w:tc>
        <w:tc>
          <w:tcPr>
            <w:tcW w:type="dxa" w:w="737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Подтверждение потребности и условий будущего использования результата.</w:t>
            </w:r>
          </w:p>
        </w:tc>
      </w:tr>
      <w:tr>
        <w:trPr>
          <w:cantSplit/>
        </w:trPr>
        <w:tc>
          <w:tcPr>
            <w:tcW w:type="dxa" w:w="238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Оператор площадки</w:t>
            </w:r>
          </w:p>
        </w:tc>
        <w:tc>
          <w:tcPr>
            <w:tcW w:type="dxa" w:w="737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Полномочия, организационные документы, безопасные условия и доступность.</w:t>
            </w:r>
          </w:p>
        </w:tc>
      </w:tr>
      <w:tr>
        <w:trPr>
          <w:cantSplit/>
        </w:trPr>
        <w:tc>
          <w:tcPr>
            <w:tcW w:type="dxa" w:w="238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Проверяющий</w:t>
            </w:r>
          </w:p>
        </w:tc>
        <w:tc>
          <w:tcPr>
            <w:tcW w:type="dxa" w:w="737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Рассмотрение работы по известным критериям; раскрытие заинтересованности.</w:t>
            </w:r>
          </w:p>
        </w:tc>
      </w:tr>
      <w:tr>
        <w:trPr>
          <w:cantSplit/>
        </w:trPr>
        <w:tc>
          <w:tcPr>
            <w:tcW w:type="dxa" w:w="238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Хранитель материалов</w:t>
            </w:r>
          </w:p>
        </w:tc>
        <w:tc>
          <w:tcPr>
            <w:tcW w:type="dxa" w:w="737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Происхождение файлов, версии, режим доступа и порядок исправления.</w:t>
            </w:r>
          </w:p>
        </w:tc>
      </w:tr>
    </w:tbl>
    <w:p>
      <w:pPr>
        <w:pStyle w:val="Small"/>
        <w:spacing w:after="20"/>
      </w:pPr>
    </w:p>
    <w:p>
      <w:pPr>
        <w:pStyle w:val="Heading2"/>
      </w:pPr>
      <w:r>
        <w:t>Минимальная комплектация</w:t>
      </w:r>
    </w:p>
    <w:p>
      <w:pPr/>
      <w:r>
        <w:t>Доступное место, разрешённый набор материалов, удобный способ записывать, понятный контакт организатора и условия остановки. Бумажный журнал допустим; цифровая платформа не является предпосылкой начала. Оборудование включается только при наличии компетентного ответственного и требуемых условий.</w:t>
      </w:r>
    </w:p>
    <w:p>
      <w:pPr>
        <w:pStyle w:val="Heading2"/>
      </w:pPr>
      <w:r>
        <w:t>До первой встречи</w:t>
      </w:r>
    </w:p>
    <w:p>
      <w:pPr/>
      <w:r>
        <w:t>Оператор описывает фактическую деятельность, проверяет применимый правовой режим, согласует пользование площадкой, необходимые расходы, правила данных и обращений. Участник заранее получает понятные сведения о нагрузке, возможных платежах, результатах обучения и способе выхода. Наименование «мастерская» не подменяет эту проверку.</w:t>
      </w:r>
    </w:p>
    <w:p>
      <w:pPr>
        <w:pStyle w:val="Heading2"/>
      </w:pPr>
      <w:r>
        <w:t>Групповая работа без принуждения</w:t>
      </w:r>
    </w:p>
    <w:p>
      <w:pPr/>
      <w:r>
        <w:t>Не требуются публичная история жизни, единые убеждения или участие в мероприятиях вне согласованной задачи. Роли принимаются добровольно. При совмещении ролей сохраняются отдельные записи о том, кто создал работу и кто принял решение по ней.</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Рабочий ритм площадки</w:t>
            </w:r>
          </w:p>
          <w:p>
            <w:pPr>
              <w:spacing w:after="20"/>
            </w:pPr>
            <w:r>
              <w:t>Открытие: задача и ограничения. Работа: помощь и первичная запись. Завершение: результат, возврат материалов, следующий шаг. Инцидент останавливает затронутую деятельность, а не ожидает планового отчётного дня.</w:t>
            </w:r>
          </w:p>
        </w:tc>
      </w:tr>
    </w:tbl>
    <w:p>
      <w:pPr>
        <w:pStyle w:val="Small"/>
        <w:spacing w:after="0"/>
      </w:pPr>
    </w:p>
    <w:p>
      <w:r>
        <w:br w:type="page"/>
      </w:r>
    </w:p>
    <w:p>
      <w:pPr>
        <w:pStyle w:val="Eyebrow"/>
      </w:pPr>
      <w:r>
        <w:t>10 / КОНСТРУКТОР ПРОЕКТА</w:t>
      </w:r>
    </w:p>
    <w:p>
      <w:bookmarkStart w:id="13" w:name="pg_13"/>
      <w:pPr>
        <w:pStyle w:val="Heading1"/>
      </w:pPr>
      <w:r>
        <w:t>Проект через 13 полей паспорта</w:t>
      </w:r>
      <w:bookmarkEnd w:id="13"/>
    </w:p>
    <w:p>
      <w:pPr>
        <w:pStyle w:val="Lead"/>
      </w:pPr>
      <w:r>
        <w:t>M01–M13 сохранены без перенумерации. Каждое поле отвечает на вопрос, необходимый для совместной работы; подробность зависит от масштаба и риска.</w:t>
      </w:r>
    </w:p>
    <w:tbl>
      <w:tblPr>
        <w:tblW w:type="auto" w:w="0"/>
        <w:jc w:val="center"/>
        <w:tblLayout w:type="fixed"/>
        <w:tblLook w:firstColumn="1" w:firstRow="1" w:lastColumn="0" w:lastRow="0" w:noHBand="0" w:noVBand="1" w:val="04A0"/>
      </w:tblPr>
      <w:tblGrid>
        <w:gridCol w:w="3231"/>
        <w:gridCol w:w="6520"/>
      </w:tblGrid>
      <w:tr>
        <w:trPr>
          <w:cantSplit/>
          <w:tblHeader/>
        </w:trPr>
        <w:tc>
          <w:tcPr>
            <w:tcW w:type="dxa" w:w="3231"/>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Поле</w:t>
            </w:r>
          </w:p>
        </w:tc>
        <w:tc>
          <w:tcPr>
            <w:tcW w:type="dxa" w:w="6520"/>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Практическое заполнение</w:t>
            </w:r>
          </w:p>
        </w:tc>
      </w:tr>
      <w:tr>
        <w:trPr>
          <w:cantSplit/>
        </w:trPr>
        <w:tc>
          <w:tcPr>
            <w:tcW w:type="dxa" w:w="323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M01 / Идентификация</w:t>
            </w:r>
          </w:p>
        </w:tc>
        <w:tc>
          <w:tcPr>
            <w:tcW w:type="dxa" w:w="652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Код, название, версия, дата и статус. Файлы относятся к одной определённой работе.</w:t>
            </w:r>
          </w:p>
        </w:tc>
      </w:tr>
      <w:tr>
        <w:trPr>
          <w:cantSplit/>
        </w:trPr>
        <w:tc>
          <w:tcPr>
            <w:tcW w:type="dxa" w:w="323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M02 / Потребность</w:t>
            </w:r>
          </w:p>
        </w:tc>
        <w:tc>
          <w:tcPr>
            <w:tcW w:type="dxa" w:w="652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Кому нужен результат и как это подтверждено. Не приписывать запрос отсутствующему партнёру.</w:t>
            </w:r>
          </w:p>
        </w:tc>
      </w:tr>
      <w:tr>
        <w:trPr>
          <w:cantSplit/>
        </w:trPr>
        <w:tc>
          <w:tcPr>
            <w:tcW w:type="dxa" w:w="323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M03 / Участники</w:t>
            </w:r>
          </w:p>
        </w:tc>
        <w:tc>
          <w:tcPr>
            <w:tcW w:type="dxa" w:w="652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Автор, наставник, оператор, пользователь и проверяющий; реальные договорённости.</w:t>
            </w:r>
          </w:p>
        </w:tc>
      </w:tr>
      <w:tr>
        <w:trPr>
          <w:cantSplit/>
        </w:trPr>
        <w:tc>
          <w:tcPr>
            <w:tcW w:type="dxa" w:w="323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M04 / Границы</w:t>
            </w:r>
          </w:p>
        </w:tc>
        <w:tc>
          <w:tcPr>
            <w:tcW w:type="dxa" w:w="652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Объект, аудитория, период и исключённые действия.</w:t>
            </w:r>
          </w:p>
        </w:tc>
      </w:tr>
      <w:tr>
        <w:trPr>
          <w:cantSplit/>
        </w:trPr>
        <w:tc>
          <w:tcPr>
            <w:tcW w:type="dxa" w:w="323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M05 / Направления</w:t>
            </w:r>
          </w:p>
        </w:tc>
        <w:tc>
          <w:tcPr>
            <w:tcW w:type="dxa" w:w="652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Основной D-код, существенные связи и добровольно выбранные P-контуры.</w:t>
            </w:r>
          </w:p>
        </w:tc>
      </w:tr>
      <w:tr>
        <w:trPr>
          <w:cantSplit/>
        </w:trPr>
        <w:tc>
          <w:tcPr>
            <w:tcW w:type="dxa" w:w="323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M06 / Знания</w:t>
            </w:r>
          </w:p>
        </w:tc>
        <w:tc>
          <w:tcPr>
            <w:tcW w:type="dxa" w:w="652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Источники, метод, нужные умения и права на используемые материалы.</w:t>
            </w:r>
          </w:p>
        </w:tc>
      </w:tr>
      <w:tr>
        <w:trPr>
          <w:cantSplit/>
        </w:trPr>
        <w:tc>
          <w:tcPr>
            <w:tcW w:type="dxa" w:w="323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M07 / Результат</w:t>
            </w:r>
          </w:p>
        </w:tc>
        <w:tc>
          <w:tcPr>
            <w:tcW w:type="dxa" w:w="652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Раздельно: желаемый образ, рабочие требования, фактически предъявленная работа.</w:t>
            </w:r>
          </w:p>
        </w:tc>
      </w:tr>
      <w:tr>
        <w:trPr>
          <w:cantSplit/>
        </w:trPr>
        <w:tc>
          <w:tcPr>
            <w:tcW w:type="dxa" w:w="323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M08 / План</w:t>
            </w:r>
          </w:p>
        </w:tc>
        <w:tc>
          <w:tcPr>
            <w:tcW w:type="dxa" w:w="652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Шаги, сроки и точки, в которых можно изменить объём или остановиться.</w:t>
            </w:r>
          </w:p>
        </w:tc>
      </w:tr>
      <w:tr>
        <w:trPr>
          <w:cantSplit/>
        </w:trPr>
        <w:tc>
          <w:tcPr>
            <w:tcW w:type="dxa" w:w="323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M09 / Ресурсы</w:t>
            </w:r>
          </w:p>
        </w:tc>
        <w:tc>
          <w:tcPr>
            <w:tcW w:type="dxa" w:w="652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Время, материалы, помещение и энергия; доступность подтверждена.</w:t>
            </w:r>
          </w:p>
        </w:tc>
      </w:tr>
      <w:tr>
        <w:trPr>
          <w:cantSplit/>
        </w:trPr>
        <w:tc>
          <w:tcPr>
            <w:tcW w:type="dxa" w:w="323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M10 / Финансирование</w:t>
            </w:r>
          </w:p>
        </w:tc>
        <w:tc>
          <w:tcPr>
            <w:tcW w:type="dxa" w:w="652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План расходов, источник, ответственный и подтверждения; обязательства не скрыты.</w:t>
            </w:r>
          </w:p>
        </w:tc>
      </w:tr>
      <w:tr>
        <w:trPr>
          <w:cantSplit/>
        </w:trPr>
        <w:tc>
          <w:tcPr>
            <w:tcW w:type="dxa" w:w="323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M11 / Право и безопасность</w:t>
            </w:r>
          </w:p>
        </w:tc>
        <w:tc>
          <w:tcPr>
            <w:tcW w:type="dxa" w:w="652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Основания, доступность, риски, ограничения и действия при остановке.</w:t>
            </w:r>
          </w:p>
        </w:tc>
      </w:tr>
      <w:tr>
        <w:trPr>
          <w:cantSplit/>
        </w:trPr>
        <w:tc>
          <w:tcPr>
            <w:tcW w:type="dxa" w:w="323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M12 / Данные и доказательства</w:t>
            </w:r>
          </w:p>
        </w:tc>
        <w:tc>
          <w:tcPr>
            <w:tcW w:type="dxa" w:w="652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Первичные записи, файлы, метод проверки, доступ и ограничения.</w:t>
            </w:r>
          </w:p>
        </w:tc>
      </w:tr>
      <w:tr>
        <w:trPr>
          <w:cantSplit/>
        </w:trPr>
        <w:tc>
          <w:tcPr>
            <w:tcW w:type="dxa" w:w="323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M13 / Приемка и продолжение</w:t>
            </w:r>
          </w:p>
        </w:tc>
        <w:tc>
          <w:tcPr>
            <w:tcW w:type="dxa" w:w="652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Проверяющий, правило решения, замечания, версия и следующий цикл.</w:t>
            </w:r>
          </w:p>
        </w:tc>
      </w:tr>
    </w:tbl>
    <w:p>
      <w:pPr>
        <w:pStyle w:val="Small"/>
        <w:spacing w:after="20"/>
      </w:pPr>
    </w:p>
    <w:p>
      <w:pPr>
        <w:pStyle w:val="Small"/>
      </w:pPr>
      <w:r>
        <w:t>M07 нельзя заполнять одним лозунгом. Например: образ — «знания доступны»; требование — «четыре карточки имеют прослеживаемые источники»; факт — «предъявлены карточки с перечисленными недочётами». Пустой факт до приёмки обозначается «ещё не получен».</w:t>
      </w:r>
    </w:p>
    <w:p>
      <w:r>
        <w:br w:type="page"/>
      </w:r>
    </w:p>
    <w:p>
      <w:pPr>
        <w:pStyle w:val="Eyebrow"/>
      </w:pPr>
      <w:r>
        <w:t>11 / ЭТАЛОН И ДОКАЗАТЕЛЬСТВО</w:t>
      </w:r>
    </w:p>
    <w:p>
      <w:bookmarkStart w:id="14" w:name="pg_14"/>
      <w:pPr>
        <w:pStyle w:val="Heading1"/>
      </w:pPr>
      <w:r>
        <w:t>Критерии, понятные обеим сторонам</w:t>
      </w:r>
      <w:bookmarkEnd w:id="14"/>
    </w:p>
    <w:p>
      <w:pPr>
        <w:pStyle w:val="Lead"/>
      </w:pPr>
      <w:r>
        <w:t>Критерий записывается до основной работы. Проверяющий должен понять не только желаемое свойство, но и то, какое подтверждение достаточно для решения.</w:t>
      </w:r>
    </w:p>
    <w:tbl>
      <w:tblPr>
        <w:tblW w:type="auto" w:w="0"/>
        <w:jc w:val="center"/>
        <w:tblLayout w:type="fixed"/>
        <w:tblLook w:firstColumn="1" w:firstRow="1" w:lastColumn="0" w:lastRow="0" w:noHBand="0" w:noVBand="1" w:val="04A0"/>
      </w:tblPr>
      <w:tblGrid>
        <w:gridCol w:w="2948"/>
        <w:gridCol w:w="6803"/>
      </w:tblGrid>
      <w:tr>
        <w:trPr>
          <w:cantSplit/>
          <w:tblHeader/>
        </w:trPr>
        <w:tc>
          <w:tcPr>
            <w:tcW w:type="dxa" w:w="2948"/>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Критерий</w:t>
            </w:r>
          </w:p>
        </w:tc>
        <w:tc>
          <w:tcPr>
            <w:tcW w:type="dxa" w:w="6803"/>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Подтверждение и правило решения</w:t>
            </w:r>
          </w:p>
        </w:tc>
      </w:tr>
      <w:tr>
        <w:trPr>
          <w:cantSplit/>
        </w:trPr>
        <w:tc>
          <w:tcPr>
            <w:tcW w:type="dxa" w:w="294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Источник прослеживается</w:t>
            </w:r>
          </w:p>
        </w:tc>
        <w:tc>
          <w:tcPr>
            <w:tcW w:type="dxa" w:w="680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Для каждого существенного утверждения указан источник с точным местом либо честная отметка «не установлено».</w:t>
            </w:r>
          </w:p>
        </w:tc>
      </w:tr>
      <w:tr>
        <w:trPr>
          <w:cantSplit/>
        </w:trPr>
        <w:tc>
          <w:tcPr>
            <w:tcW w:type="dxa" w:w="294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Метод понятен</w:t>
            </w:r>
          </w:p>
        </w:tc>
        <w:tc>
          <w:tcPr>
            <w:tcW w:type="dxa" w:w="680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Другой человек воспроизводит один выбранный расчёт по исходной записи; расхождения объяснены.</w:t>
            </w:r>
          </w:p>
        </w:tc>
      </w:tr>
      <w:tr>
        <w:trPr>
          <w:cantSplit/>
        </w:trPr>
        <w:tc>
          <w:tcPr>
            <w:tcW w:type="dxa" w:w="294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Версия пригодна пользователю</w:t>
            </w:r>
          </w:p>
        </w:tc>
        <w:tc>
          <w:tcPr>
            <w:tcW w:type="dxa" w:w="680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Пользователь выполняет согласованную задачу по работе: например, находит нужную карточку без подсказки автора.</w:t>
            </w:r>
          </w:p>
        </w:tc>
      </w:tr>
      <w:tr>
        <w:trPr>
          <w:cantSplit/>
        </w:trPr>
        <w:tc>
          <w:tcPr>
            <w:tcW w:type="dxa" w:w="294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Передача разрешена</w:t>
            </w:r>
          </w:p>
        </w:tc>
        <w:tc>
          <w:tcPr>
            <w:tcW w:type="dxa" w:w="680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Для каждого включённого материала названо основание использования и режим доступа.</w:t>
            </w:r>
          </w:p>
        </w:tc>
      </w:tr>
    </w:tbl>
    <w:p>
      <w:pPr>
        <w:pStyle w:val="Small"/>
        <w:spacing w:after="20"/>
      </w:pPr>
    </w:p>
    <w:p>
      <w:pPr>
        <w:pStyle w:val="Heading2"/>
      </w:pPr>
      <w:r>
        <w:t>Выбирать достаточное подтверждение</w:t>
      </w:r>
    </w:p>
    <w:p>
      <w:pPr/>
      <w:r>
        <w:t>Культурной интерпретации нужны опора на материал и ясное авторство, но не согласие всех с выводом. Расчёту нужны исходные данные, единицы и проверяемые действия, но не число положительных отзывов. Для навыка требуется наблюдаемое выполнение, а самоотчёт о пользе учитывается отдельно.</w:t>
      </w:r>
    </w:p>
    <w:p>
      <w:pPr>
        <w:pStyle w:val="Heading2"/>
      </w:pPr>
      <w:r>
        <w:t>Четыре группы Q-проверок</w:t>
      </w:r>
    </w:p>
    <w:p>
      <w:pPr/>
      <w:r>
        <w:t>Q01–Q05 уточняют пользу и границы; Q06–Q10 — реализуемость; Q11–Q15 — безопасность и права; Q16–Q20 — доказательства и пересмотр. Полный перечень с полями для записи находится в форме Е. До старта фиксируется подготовка способа проверки, при приёмке — фактическое подтверждение.</w:t>
      </w:r>
    </w:p>
    <w:p>
      <w:pPr>
        <w:pStyle w:val="Heading2"/>
      </w:pPr>
      <w:r>
        <w:t>Доработка не меняет критерий задним числом</w:t>
      </w:r>
    </w:p>
    <w:p>
      <w:pPr/>
      <w:r>
        <w:t>Если выяснилось, что требование ошибочно, выпускается новая согласованная версия. В протоколе сохраняется, по каким условиям начата работа и что именно пересмотрено. Нельзя объявить успех, просто удалив неудобный критерий из итоговой версии.</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Правило решения</w:t>
            </w:r>
          </w:p>
          <w:p>
            <w:pPr>
              <w:spacing w:after="20"/>
            </w:pPr>
            <w:r>
              <w:t>Статусы Q: «подтверждено», «нужна доработка», «неприменимо — с объяснением». Незакрытый критический риск блокирует соответствующий шаг; сумма выполненных пунктов его не компенсирует.</w:t>
            </w:r>
          </w:p>
        </w:tc>
      </w:tr>
    </w:tbl>
    <w:p>
      <w:pPr>
        <w:pStyle w:val="Small"/>
        <w:spacing w:after="0"/>
      </w:pPr>
    </w:p>
    <w:p>
      <w:r>
        <w:br w:type="page"/>
      </w:r>
    </w:p>
    <w:p>
      <w:pPr>
        <w:pStyle w:val="Eyebrow"/>
      </w:pPr>
      <w:r>
        <w:t>12 / ЗНАНИЯ И ЭНЕРГИЯ</w:t>
      </w:r>
    </w:p>
    <w:p>
      <w:bookmarkStart w:id="15" w:name="pg_15"/>
      <w:pPr>
        <w:pStyle w:val="Heading1"/>
      </w:pPr>
      <w:r>
        <w:t>Ресурсное обеспечение практики</w:t>
      </w:r>
      <w:bookmarkEnd w:id="15"/>
    </w:p>
    <w:p>
      <w:pPr>
        <w:pStyle w:val="Lead"/>
      </w:pPr>
      <w:r>
        <w:t>Ресурсом считается то, чем можно распорядиться в нужное время и на подтверждённом основании. Обещание помощи, выделенное время и фактический расход — разные состояния записи.</w:t>
      </w:r>
    </w:p>
    <w:tbl>
      <w:tblPr>
        <w:tblW w:type="auto" w:w="0"/>
        <w:jc w:val="center"/>
        <w:tblLayout w:type="fixed"/>
        <w:tblLook w:firstColumn="1" w:firstRow="1" w:lastColumn="0" w:lastRow="0" w:noHBand="0" w:noVBand="1" w:val="04A0"/>
      </w:tblPr>
      <w:tblGrid>
        <w:gridCol w:w="2608"/>
        <w:gridCol w:w="7143"/>
      </w:tblGrid>
      <w:tr>
        <w:trPr>
          <w:cantSplit/>
          <w:tblHeader/>
        </w:trPr>
        <w:tc>
          <w:tcPr>
            <w:tcW w:type="dxa" w:w="2608"/>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Ресурс</w:t>
            </w:r>
          </w:p>
        </w:tc>
        <w:tc>
          <w:tcPr>
            <w:tcW w:type="dxa" w:w="7143"/>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Планирование и подтверждение</w:t>
            </w:r>
          </w:p>
        </w:tc>
      </w:tr>
      <w:tr>
        <w:trPr>
          <w:cantSplit/>
        </w:trPr>
        <w:tc>
          <w:tcPr>
            <w:tcW w:type="dxa" w:w="260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Знания</w:t>
            </w:r>
          </w:p>
        </w:tc>
        <w:tc>
          <w:tcPr>
            <w:tcW w:type="dxa" w:w="714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Доступный источник, право использования, понятность материала и помощь с методом.</w:t>
            </w:r>
          </w:p>
        </w:tc>
      </w:tr>
      <w:tr>
        <w:trPr>
          <w:cantSplit/>
        </w:trPr>
        <w:tc>
          <w:tcPr>
            <w:tcW w:type="dxa" w:w="260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Время человека</w:t>
            </w:r>
          </w:p>
        </w:tc>
        <w:tc>
          <w:tcPr>
            <w:tcW w:type="dxa" w:w="714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Согласованные часы, перерывы, формат и возможность пересмотра нагрузки.</w:t>
            </w:r>
          </w:p>
        </w:tc>
      </w:tr>
      <w:tr>
        <w:trPr>
          <w:cantSplit/>
        </w:trPr>
        <w:tc>
          <w:tcPr>
            <w:tcW w:type="dxa" w:w="260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Совместные усилия</w:t>
            </w:r>
          </w:p>
        </w:tc>
        <w:tc>
          <w:tcPr>
            <w:tcW w:type="dxa" w:w="714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Кто делает какую работу; общий час встречи и часы участников не смешиваются.</w:t>
            </w:r>
          </w:p>
        </w:tc>
      </w:tr>
      <w:tr>
        <w:trPr>
          <w:cantSplit/>
        </w:trPr>
        <w:tc>
          <w:tcPr>
            <w:tcW w:type="dxa" w:w="260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Материалы и площадка</w:t>
            </w:r>
          </w:p>
        </w:tc>
        <w:tc>
          <w:tcPr>
            <w:tcW w:type="dxa" w:w="714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Количество, состояние, владелец, разрешение, срок возврата или расходования.</w:t>
            </w:r>
          </w:p>
        </w:tc>
      </w:tr>
      <w:tr>
        <w:trPr>
          <w:cantSplit/>
        </w:trPr>
        <w:tc>
          <w:tcPr>
            <w:tcW w:type="dxa" w:w="260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Деньги</w:t>
            </w:r>
          </w:p>
        </w:tc>
        <w:tc>
          <w:tcPr>
            <w:tcW w:type="dxa" w:w="714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План расходов, подтверждённый источник и фактические документы; отдельно — ожидаемые средства.</w:t>
            </w:r>
          </w:p>
        </w:tc>
      </w:tr>
      <w:tr>
        <w:trPr>
          <w:cantSplit/>
        </w:trPr>
        <w:tc>
          <w:tcPr>
            <w:tcW w:type="dxa" w:w="260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Физическая энергия</w:t>
            </w:r>
          </w:p>
        </w:tc>
        <w:tc>
          <w:tcPr>
            <w:tcW w:type="dxa" w:w="714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Объект, период, способ получения данных и единицы; расчёт отделён от измерения.</w:t>
            </w:r>
          </w:p>
        </w:tc>
      </w:tr>
    </w:tbl>
    <w:p>
      <w:pPr>
        <w:pStyle w:val="Small"/>
        <w:spacing w:after="20"/>
      </w:pPr>
    </w:p>
    <w:p>
      <w:pPr>
        <w:pStyle w:val="Heading2"/>
      </w:pPr>
      <w:r>
        <w:t>Мощность и энергия</w:t>
      </w:r>
    </w:p>
    <w:p>
      <w:pPr/>
      <w:r>
        <w:t>Ватт описывает мощность, джоуль — энергию; 1 Вт = 1 Дж/с. Для постоянной мощности E = P × t. При P в киловаттах и t в часах E выражается в киловатт-часах. 1 кВт·ч = 3,6 МДж. Это связь единиц, а не подтверждение свойств конкретного устройства. [S07]</w:t>
      </w:r>
    </w:p>
    <w:p>
      <w:pPr>
        <w:pStyle w:val="Heading2"/>
      </w:pPr>
      <w:r>
        <w:t>Время не переводится в электричество</w:t>
      </w:r>
    </w:p>
    <w:p>
      <w:pPr/>
      <w:r>
        <w:t>Личная энергия в разговоре о саморазвитии означает доступные силы, внимание и нагрузку. Она не измеряется ваттами. Часы добровольной помощи не становятся деньгами, активом или долговым требованием без отдельного основания. Техническая гипотеза не записывается как действующая генерация.</w:t>
      </w:r>
    </w:p>
    <w:p>
      <w:pPr>
        <w:pStyle w:val="Heading2"/>
      </w:pPr>
      <w:r>
        <w:t>Что считать при бесплатном участии</w:t>
      </w:r>
    </w:p>
    <w:p>
      <w:pPr/>
      <w:r>
        <w:t>Нулевой платёж участника не означает отсутствие затрат: время наставника, пользование помещением и материалы имеют отдельные записи. Денежную оценку не нужно придумывать ради общего итога; можно сохранить натуральные величины и источник предоставления.</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Минимум перед действием</w:t>
            </w:r>
          </w:p>
          <w:p>
            <w:pPr>
              <w:spacing w:after="20"/>
            </w:pPr>
            <w:r>
              <w:t>Для критичного ресурса указаны количество или объём, срок, владелец и подтверждение доступности. Когда ресурс не подтверждён, проект уменьшается или соответствующий шаг откладывается.</w:t>
            </w:r>
          </w:p>
        </w:tc>
      </w:tr>
    </w:tbl>
    <w:p>
      <w:pPr>
        <w:pStyle w:val="Small"/>
        <w:spacing w:after="0"/>
      </w:pPr>
    </w:p>
    <w:p>
      <w:r>
        <w:br w:type="page"/>
      </w:r>
    </w:p>
    <w:p>
      <w:pPr>
        <w:pStyle w:val="Eyebrow"/>
      </w:pPr>
      <w:r>
        <w:t>13 / КАТАЛОГ ПРАКТИКИ · D01–D07</w:t>
      </w:r>
    </w:p>
    <w:p>
      <w:bookmarkStart w:id="16" w:name="pg_16"/>
      <w:pPr>
        <w:pStyle w:val="Heading1"/>
      </w:pPr>
      <w:r>
        <w:t>Человек и природная среда</w:t>
      </w:r>
      <w:bookmarkEnd w:id="16"/>
    </w:p>
    <w:p>
      <w:pPr>
        <w:pStyle w:val="Lead"/>
      </w:pPr>
      <w:r>
        <w:t>Ниже — стартовые учебные задачи, а не перечень разрешённых профессиональных работ. Номер направления взят из «Основ»; ограничения уточняются для площадки.</w:t>
      </w:r>
    </w:p>
    <w:tbl>
      <w:tblPr>
        <w:tblW w:type="auto" w:w="0"/>
        <w:jc w:val="center"/>
        <w:tblLayout w:type="fixed"/>
        <w:tblLook w:firstColumn="1" w:firstRow="1" w:lastColumn="0" w:lastRow="0" w:noHBand="0" w:noVBand="1" w:val="04A0"/>
      </w:tblPr>
      <w:tblGrid>
        <w:gridCol w:w="2494"/>
        <w:gridCol w:w="3855"/>
        <w:gridCol w:w="3402"/>
      </w:tblGrid>
      <w:tr>
        <w:trPr>
          <w:cantSplit/>
          <w:tblHeader/>
        </w:trPr>
        <w:tc>
          <w:tcPr>
            <w:tcW w:type="dxa" w:w="2494"/>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Направление</w:t>
            </w:r>
          </w:p>
        </w:tc>
        <w:tc>
          <w:tcPr>
            <w:tcW w:type="dxa" w:w="385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Работа</w:t>
            </w:r>
          </w:p>
        </w:tc>
        <w:tc>
          <w:tcPr>
            <w:tcW w:type="dxa" w:w="3402"/>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Граница</w:t>
            </w:r>
          </w:p>
        </w:tc>
      </w:tr>
      <w:tr>
        <w:trPr>
          <w:cantSplit/>
        </w:trPr>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D01 / Человек и здоровье</w:t>
            </w:r>
          </w:p>
        </w:tc>
        <w:tc>
          <w:tcPr>
            <w:tcW w:type="dxa" w:w="385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Карта условий участия: вход, место работы, перерывы, способы запросить помощь.</w:t>
            </w:r>
          </w:p>
        </w:tc>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Описание среды, не диагноз и не медицинская оценка.</w:t>
            </w:r>
          </w:p>
        </w:tc>
      </w:tr>
      <w:tr>
        <w:trPr>
          <w:cantSplit/>
        </w:trPr>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D02 / Образование и знания</w:t>
            </w:r>
          </w:p>
        </w:tc>
        <w:tc>
          <w:tcPr>
            <w:tcW w:type="dxa" w:w="385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Один вопрос — три источника: карточки, собственное объяснение и исправленная версия.</w:t>
            </w:r>
          </w:p>
        </w:tc>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Не обещать квалификацию; режим обучения проверяет оператор.</w:t>
            </w:r>
          </w:p>
        </w:tc>
      </w:tr>
      <w:tr>
        <w:trPr>
          <w:cantSplit/>
        </w:trPr>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D03 / Естественный климат</w:t>
            </w:r>
          </w:p>
        </w:tc>
        <w:tc>
          <w:tcPr>
            <w:tcW w:type="dxa" w:w="385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Сопоставить разрешённые метеоданные за одинаковые периоды и описать контекст.</w:t>
            </w:r>
          </w:p>
        </w:tc>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Короткий ряд не доказывает изменение глобального климата.</w:t>
            </w:r>
          </w:p>
        </w:tc>
      </w:tr>
      <w:tr>
        <w:trPr>
          <w:cantSplit/>
        </w:trPr>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D04 / Земля и почвы</w:t>
            </w:r>
          </w:p>
        </w:tc>
        <w:tc>
          <w:tcPr>
            <w:tcW w:type="dxa" w:w="385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Карточка истории разрешённого участка: источники, использование, наблюдения.</w:t>
            </w:r>
          </w:p>
        </w:tc>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Не делать заключение о плодородии без подходящего метода.</w:t>
            </w:r>
          </w:p>
        </w:tc>
      </w:tr>
      <w:tr>
        <w:trPr>
          <w:cantSplit/>
        </w:trPr>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D05 / Вода</w:t>
            </w:r>
          </w:p>
        </w:tc>
        <w:tc>
          <w:tcPr>
            <w:tcW w:type="dxa" w:w="385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Журнал доступных показаний водопотребления и вопросов к специалисту.</w:t>
            </w:r>
          </w:p>
        </w:tc>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Не оценивать пригодность воды для питья по внешнему виду.</w:t>
            </w:r>
          </w:p>
        </w:tc>
      </w:tr>
      <w:tr>
        <w:trPr>
          <w:cantSplit/>
        </w:trPr>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D06 / Воздух</w:t>
            </w:r>
          </w:p>
        </w:tc>
        <w:tc>
          <w:tcPr>
            <w:tcW w:type="dxa" w:w="385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Описание условий помещения и источника доступных данных.</w:t>
            </w:r>
          </w:p>
        </w:tc>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Учебная запись не заменяет санитарные измерения и заключение.</w:t>
            </w:r>
          </w:p>
        </w:tc>
      </w:tr>
      <w:tr>
        <w:trPr>
          <w:cantSplit/>
        </w:trPr>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D07 / Биоценозы</w:t>
            </w:r>
          </w:p>
        </w:tc>
        <w:tc>
          <w:tcPr>
            <w:tcW w:type="dxa" w:w="385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Датированный каталог наблюдений видов и местообитаний с пометками уверенности.</w:t>
            </w:r>
          </w:p>
        </w:tc>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Без отлова, изъятия, подкормки и публикации чувствительных мест без оснований.</w:t>
            </w:r>
          </w:p>
        </w:tc>
      </w:tr>
    </w:tbl>
    <w:p>
      <w:pPr>
        <w:pStyle w:val="Small"/>
        <w:spacing w:after="20"/>
      </w:pPr>
    </w:p>
    <w:p>
      <w:pPr>
        <w:pStyle w:val="Heading2"/>
      </w:pPr>
      <w:r>
        <w:t>Одна работа — один основной код</w:t>
      </w:r>
    </w:p>
    <w:p>
      <w:pPr/>
      <w:r>
        <w:t>В проекте о водоёме основным может быть D05, а D07 и D14 обозначат связи. Одна фотография или запись получает один идентификатор; ссылки на неё в других направлениях не создают новые наблюдения.</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Общий критерий</w:t>
            </w:r>
          </w:p>
          <w:p>
            <w:pPr>
              <w:spacing w:after="20"/>
            </w:pPr>
            <w:r>
              <w:t>Другой человек понимает, что действительно наблюдалось, каким способом и чего из этого заключать нельзя. Неустановленное название вида или происхождение записи отмечается прямо.</w:t>
            </w:r>
          </w:p>
        </w:tc>
      </w:tr>
    </w:tbl>
    <w:p>
      <w:pPr>
        <w:pStyle w:val="Small"/>
        <w:spacing w:after="0"/>
      </w:pPr>
    </w:p>
    <w:p>
      <w:r>
        <w:br w:type="page"/>
      </w:r>
    </w:p>
    <w:p>
      <w:pPr>
        <w:pStyle w:val="Eyebrow"/>
      </w:pPr>
      <w:r>
        <w:t>14 / КАТАЛОГ ПРАКТИКИ · D08–D13</w:t>
      </w:r>
    </w:p>
    <w:p>
      <w:bookmarkStart w:id="17" w:name="pg_17"/>
      <w:pPr>
        <w:pStyle w:val="Heading1"/>
      </w:pPr>
      <w:r>
        <w:t>Ресурсы, материалы и место жизни</w:t>
      </w:r>
      <w:bookmarkEnd w:id="17"/>
    </w:p>
    <w:p>
      <w:pPr>
        <w:pStyle w:val="Lead"/>
      </w:pPr>
      <w:r>
        <w:t>Производственная тема может начинаться с безопасного изучения источника, истории вещи или процесса. Учебная мастерская не обязана проводить испытания оборудования.</w:t>
      </w:r>
    </w:p>
    <w:tbl>
      <w:tblPr>
        <w:tblW w:type="auto" w:w="0"/>
        <w:jc w:val="center"/>
        <w:tblLayout w:type="fixed"/>
        <w:tblLook w:firstColumn="1" w:firstRow="1" w:lastColumn="0" w:lastRow="0" w:noHBand="0" w:noVBand="1" w:val="04A0"/>
      </w:tblPr>
      <w:tblGrid>
        <w:gridCol w:w="2494"/>
        <w:gridCol w:w="3855"/>
        <w:gridCol w:w="3402"/>
      </w:tblGrid>
      <w:tr>
        <w:trPr>
          <w:cantSplit/>
          <w:tblHeader/>
        </w:trPr>
        <w:tc>
          <w:tcPr>
            <w:tcW w:type="dxa" w:w="2494"/>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Направление</w:t>
            </w:r>
          </w:p>
        </w:tc>
        <w:tc>
          <w:tcPr>
            <w:tcW w:type="dxa" w:w="385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Работа</w:t>
            </w:r>
          </w:p>
        </w:tc>
        <w:tc>
          <w:tcPr>
            <w:tcW w:type="dxa" w:w="3402"/>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Граница</w:t>
            </w:r>
          </w:p>
        </w:tc>
      </w:tr>
      <w:tr>
        <w:trPr>
          <w:cantSplit/>
        </w:trPr>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D08 / Продовольствие</w:t>
            </w:r>
          </w:p>
        </w:tc>
        <w:tc>
          <w:tcPr>
            <w:tcW w:type="dxa" w:w="385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Культурная карточка продукта и наблюдение потерь по разрешённым записям.</w:t>
            </w:r>
          </w:p>
        </w:tc>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Без назначения рациона, медицинских выводов и проверки безопасности продукта бытовым опытом.</w:t>
            </w:r>
          </w:p>
        </w:tc>
      </w:tr>
      <w:tr>
        <w:trPr>
          <w:cantSplit/>
        </w:trPr>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D09 / Энергия</w:t>
            </w:r>
          </w:p>
        </w:tc>
        <w:tc>
          <w:tcPr>
            <w:tcW w:type="dxa" w:w="385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Понятный расчёт или журнал доступного энергопотребления с указанным методом.</w:t>
            </w:r>
          </w:p>
        </w:tc>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Без монтажа, вскрытия щитов, ремонта и испытаний электроустановок.</w:t>
            </w:r>
          </w:p>
        </w:tc>
      </w:tr>
      <w:tr>
        <w:trPr>
          <w:cantSplit/>
        </w:trPr>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D10 / Материалы</w:t>
            </w:r>
          </w:p>
        </w:tc>
        <w:tc>
          <w:tcPr>
            <w:tcW w:type="dxa" w:w="385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Каталог свойств керамики и синтетических кристаллов по научным и техническим источникам.</w:t>
            </w:r>
          </w:p>
        </w:tc>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Свойства конкретного образца не приписываются только по названию; опасные опыты исключены.</w:t>
            </w:r>
          </w:p>
        </w:tc>
      </w:tr>
      <w:tr>
        <w:trPr>
          <w:cantSplit/>
        </w:trPr>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D11 / Промышленность</w:t>
            </w:r>
          </w:p>
        </w:tc>
        <w:tc>
          <w:tcPr>
            <w:tcW w:type="dxa" w:w="385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Карта изготовления простого изделия по разрешённой документации или беседе.</w:t>
            </w:r>
          </w:p>
        </w:tc>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Не раскрывать охраняемые сведения; не заменять технологическую инструкцию.</w:t>
            </w:r>
          </w:p>
        </w:tc>
      </w:tr>
      <w:tr>
        <w:trPr>
          <w:cantSplit/>
        </w:trPr>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D12 / Транспорт</w:t>
            </w:r>
          </w:p>
        </w:tc>
        <w:tc>
          <w:tcPr>
            <w:tcW w:type="dxa" w:w="385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Карта доступного маршрута по открытым сведениям и безопасному наблюдению.</w:t>
            </w:r>
          </w:p>
        </w:tc>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Без вмешательства в движение и обследования закрытых объектов.</w:t>
            </w:r>
          </w:p>
        </w:tc>
      </w:tr>
      <w:tr>
        <w:trPr>
          <w:cantSplit/>
        </w:trPr>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D13 / Города и расселение</w:t>
            </w:r>
          </w:p>
        </w:tc>
        <w:tc>
          <w:tcPr>
            <w:tcW w:type="dxa" w:w="385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Культурный маршрут места: источники, точки, доступность и варианты использования.</w:t>
            </w:r>
          </w:p>
        </w:tc>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Эскиз не разрешает стройку, изменение имущества или размещение объектов.</w:t>
            </w:r>
          </w:p>
        </w:tc>
      </w:tr>
    </w:tbl>
    <w:p>
      <w:pPr>
        <w:pStyle w:val="Small"/>
        <w:spacing w:after="20"/>
      </w:pPr>
    </w:p>
    <w:p>
      <w:pPr>
        <w:pStyle w:val="Heading2"/>
      </w:pPr>
      <w:r>
        <w:t>Культура и материал соединяются через источник</w:t>
      </w:r>
    </w:p>
    <w:p>
      <w:pPr/>
      <w:r>
        <w:t>Историю керамической вещи можно изучить вместе с описанием технологии и свойств материала. Если точный состав неизвестен, он не выводится из внешнего сходства. Для синтетического кристалла указываются наименование, химическая основа по источнику и условия, к которым относится приведённая характеристика.</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Общий критерий</w:t>
            </w:r>
          </w:p>
          <w:p>
            <w:pPr>
              <w:spacing w:after="20"/>
            </w:pPr>
            <w:r>
              <w:t>Каталог, расчёт или маршрут содержит происхождение данных, рабочую цель, ограничения и понятную форму предъявления. Сведения из рекламы не становятся техническим подтверждением без проверки.</w:t>
            </w:r>
          </w:p>
        </w:tc>
      </w:tr>
    </w:tbl>
    <w:p>
      <w:pPr>
        <w:pStyle w:val="Small"/>
        <w:spacing w:after="0"/>
      </w:pPr>
    </w:p>
    <w:p>
      <w:r>
        <w:br w:type="page"/>
      </w:r>
    </w:p>
    <w:p>
      <w:pPr>
        <w:pStyle w:val="Eyebrow"/>
      </w:pPr>
      <w:r>
        <w:t>15 / КАТАЛОГ ПРАКТИКИ · D14–D19</w:t>
      </w:r>
    </w:p>
    <w:p>
      <w:bookmarkStart w:id="18" w:name="pg_18"/>
      <w:pPr>
        <w:pStyle w:val="Heading1"/>
      </w:pPr>
      <w:r>
        <w:t>Знание, совместная работа и решения</w:t>
      </w:r>
      <w:bookmarkEnd w:id="18"/>
    </w:p>
    <w:p>
      <w:pPr>
        <w:pStyle w:val="Lead"/>
      </w:pPr>
      <w:r>
        <w:t>Эти направления обеспечивают метод, организацию и память проекта. Их задача — сделать действия проверяемыми, а не заменить самостоятельный выбор участника.</w:t>
      </w:r>
    </w:p>
    <w:tbl>
      <w:tblPr>
        <w:tblW w:type="auto" w:w="0"/>
        <w:jc w:val="center"/>
        <w:tblLayout w:type="fixed"/>
        <w:tblLook w:firstColumn="1" w:firstRow="1" w:lastColumn="0" w:lastRow="0" w:noHBand="0" w:noVBand="1" w:val="04A0"/>
      </w:tblPr>
      <w:tblGrid>
        <w:gridCol w:w="2494"/>
        <w:gridCol w:w="3855"/>
        <w:gridCol w:w="3402"/>
      </w:tblGrid>
      <w:tr>
        <w:trPr>
          <w:cantSplit/>
          <w:tblHeader/>
        </w:trPr>
        <w:tc>
          <w:tcPr>
            <w:tcW w:type="dxa" w:w="2494"/>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Направление</w:t>
            </w:r>
          </w:p>
        </w:tc>
        <w:tc>
          <w:tcPr>
            <w:tcW w:type="dxa" w:w="385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Работа</w:t>
            </w:r>
          </w:p>
        </w:tc>
        <w:tc>
          <w:tcPr>
            <w:tcW w:type="dxa" w:w="3402"/>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Граница</w:t>
            </w:r>
          </w:p>
        </w:tc>
      </w:tr>
      <w:tr>
        <w:trPr>
          <w:cantSplit/>
        </w:trPr>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D14 / Наука</w:t>
            </w:r>
          </w:p>
        </w:tc>
        <w:tc>
          <w:tcPr>
            <w:tcW w:type="dxa" w:w="385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Один вопрос, заранее описанный метод, первичная запись и ограниченный вывод.</w:t>
            </w:r>
          </w:p>
        </w:tc>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Результат одной учебной работы не объявляется научным открытием без соответствующей проверки.</w:t>
            </w:r>
          </w:p>
        </w:tc>
      </w:tr>
      <w:tr>
        <w:trPr>
          <w:cantSplit/>
        </w:trPr>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D15 / Цифровая среда и ИИ</w:t>
            </w:r>
          </w:p>
        </w:tc>
        <w:tc>
          <w:tcPr>
            <w:tcW w:type="dxa" w:w="385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Небольшой каталог с версиями, ссылками и проверенными правами доступа.</w:t>
            </w:r>
          </w:p>
        </w:tc>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Личные и закрытые данные не передаются внешнему сервису автоматически.</w:t>
            </w:r>
          </w:p>
        </w:tc>
      </w:tr>
      <w:tr>
        <w:trPr>
          <w:cantSplit/>
        </w:trPr>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D16 / Экономика и финансы</w:t>
            </w:r>
          </w:p>
        </w:tc>
        <w:tc>
          <w:tcPr>
            <w:tcW w:type="dxa" w:w="385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План и факт ресурсов одной работы; раскрытые допущения учебного расчёта.</w:t>
            </w:r>
          </w:p>
        </w:tc>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Не инвестиционная рекомендация, банковская операция или основание для признания актива.</w:t>
            </w:r>
          </w:p>
        </w:tc>
      </w:tr>
      <w:tr>
        <w:trPr>
          <w:cantSplit/>
        </w:trPr>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D17 / Социальная система</w:t>
            </w:r>
          </w:p>
        </w:tc>
        <w:tc>
          <w:tcPr>
            <w:tcW w:type="dxa" w:w="385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Согласованная взаимопомощь: нужная задача, принятые роли и способ обращения.</w:t>
            </w:r>
          </w:p>
        </w:tc>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Помощь не обусловливается раскрытием убеждений или чужой личной истории.</w:t>
            </w:r>
          </w:p>
        </w:tc>
      </w:tr>
      <w:tr>
        <w:trPr>
          <w:cantSplit/>
        </w:trPr>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D18 / Безопасность и устойчивость</w:t>
            </w:r>
          </w:p>
        </w:tc>
        <w:tc>
          <w:tcPr>
            <w:tcW w:type="dxa" w:w="385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Карта рисков и остановки конкретной мастерской; учебный разбор ситуации.</w:t>
            </w:r>
          </w:p>
        </w:tc>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Не сертификат безопасности и не право на специальные работы.</w:t>
            </w:r>
          </w:p>
        </w:tc>
      </w:tr>
      <w:tr>
        <w:trPr>
          <w:cantSplit/>
        </w:trPr>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D19 / Управление развитием</w:t>
            </w:r>
          </w:p>
        </w:tc>
        <w:tc>
          <w:tcPr>
            <w:tcW w:type="dxa" w:w="385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Журнал решений: предмет, основание, ответственный, срок и новая версия.</w:t>
            </w:r>
          </w:p>
        </w:tc>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Решение группы не создаёт полномочия органа власти или права на чужое имущество.</w:t>
            </w:r>
          </w:p>
        </w:tc>
      </w:tr>
    </w:tbl>
    <w:p>
      <w:pPr>
        <w:pStyle w:val="Small"/>
        <w:spacing w:after="20"/>
      </w:pPr>
    </w:p>
    <w:p>
      <w:pPr>
        <w:pStyle w:val="Heading2"/>
      </w:pPr>
      <w:r>
        <w:t>Проверка связей до масштабирования</w:t>
      </w:r>
    </w:p>
    <w:p>
      <w:pPr/>
      <w:r>
        <w:t>При изменении одного решения проверяется, кого оно затронет. Перенос занятий в цифровую среду может уменьшить затраты площадки, но увеличить требования к устройствам и доступу участников. Такой эффект записывается отдельно; экономия не оправдывает исключение человека без обсуждения доступной альтернативы.</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Классификатор остаётся единым</w:t>
            </w:r>
          </w:p>
          <w:p>
            <w:pPr>
              <w:spacing w:after="20"/>
            </w:pPr>
            <w:r>
              <w:t>Культура — сквозная практика и, например, содержание задач D02 или D13; новое двадцатое направление не вводится. Изменение D-кодов возможно только отдельной версией с таблицей соответствия.</w:t>
            </w:r>
          </w:p>
        </w:tc>
      </w:tr>
    </w:tbl>
    <w:p>
      <w:pPr>
        <w:pStyle w:val="Small"/>
        <w:spacing w:after="0"/>
      </w:pPr>
    </w:p>
    <w:p>
      <w:r>
        <w:br w:type="page"/>
      </w:r>
    </w:p>
    <w:p>
      <w:pPr>
        <w:pStyle w:val="Eyebrow"/>
      </w:pPr>
      <w:r>
        <w:t>16 / УЧЕБНЫЙ ПРОЕКТ А</w:t>
      </w:r>
    </w:p>
    <w:p>
      <w:bookmarkStart w:id="19" w:name="pg_19"/>
      <w:pPr>
        <w:pStyle w:val="Heading1"/>
      </w:pPr>
      <w:r>
        <w:t>Один текст — два прочтения</w:t>
      </w:r>
      <w:bookmarkEnd w:id="19"/>
    </w:p>
    <w:p>
      <w:pPr>
        <w:pStyle w:val="Lead"/>
      </w:pPr>
      <w:r>
        <w:t>Модель читательской мастерской: культурная интерпретация соединяется с проверкой источников. Проект описан для применения, а не как уже состоявшееся событие.</w:t>
      </w:r>
    </w:p>
    <w:tbl>
      <w:tblPr>
        <w:tblW w:type="auto" w:w="0"/>
        <w:jc w:val="center"/>
        <w:tblLayout w:type="fixed"/>
        <w:tblLook w:firstColumn="1" w:firstRow="1" w:lastColumn="0" w:lastRow="0" w:noHBand="0" w:noVBand="1" w:val="04A0"/>
      </w:tblPr>
      <w:tblGrid>
        <w:gridCol w:w="2381"/>
        <w:gridCol w:w="7370"/>
      </w:tblGrid>
      <w:tr>
        <w:trPr>
          <w:cantSplit/>
          <w:tblHeader/>
        </w:trPr>
        <w:tc>
          <w:tcPr>
            <w:tcW w:type="dxa" w:w="2381"/>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Элемент</w:t>
            </w:r>
          </w:p>
        </w:tc>
        <w:tc>
          <w:tcPr>
            <w:tcW w:type="dxa" w:w="7370"/>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Предлагаемая запись</w:t>
            </w:r>
          </w:p>
        </w:tc>
      </w:tr>
      <w:tr>
        <w:trPr>
          <w:cantSplit/>
        </w:trPr>
        <w:tc>
          <w:tcPr>
            <w:tcW w:type="dxa" w:w="238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Выбор</w:t>
            </w:r>
          </w:p>
        </w:tc>
        <w:tc>
          <w:tcPr>
            <w:tcW w:type="dxa" w:w="737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Основной D02; связи D14, D17. Основной P10; поддерживающий P03 — по выбору.</w:t>
            </w:r>
          </w:p>
        </w:tc>
      </w:tr>
      <w:tr>
        <w:trPr>
          <w:cantSplit/>
        </w:trPr>
        <w:tc>
          <w:tcPr>
            <w:tcW w:type="dxa" w:w="238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Потребность</w:t>
            </w:r>
          </w:p>
        </w:tc>
        <w:tc>
          <w:tcPr>
            <w:tcW w:type="dxa" w:w="737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Участник хочет аргументировать своё прочтение и понимать, откуда взяты сведения о произведении.</w:t>
            </w:r>
          </w:p>
        </w:tc>
      </w:tr>
      <w:tr>
        <w:trPr>
          <w:cantSplit/>
        </w:trPr>
        <w:tc>
          <w:tcPr>
            <w:tcW w:type="dxa" w:w="238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Результат</w:t>
            </w:r>
          </w:p>
        </w:tc>
        <w:tc>
          <w:tcPr>
            <w:tcW w:type="dxa" w:w="737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Две короткие интерпретации одного разрешённого текста, карточка источника и протокол обсуждения.</w:t>
            </w:r>
          </w:p>
        </w:tc>
      </w:tr>
      <w:tr>
        <w:trPr>
          <w:cantSplit/>
        </w:trPr>
        <w:tc>
          <w:tcPr>
            <w:tcW w:type="dxa" w:w="238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Границы</w:t>
            </w:r>
          </w:p>
        </w:tc>
        <w:tc>
          <w:tcPr>
            <w:tcW w:type="dxa" w:w="737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Без оценки убеждений участников, записи личных историй по умолчанию и перепечатки чужого произведения без основания.</w:t>
            </w:r>
          </w:p>
        </w:tc>
      </w:tr>
      <w:tr>
        <w:trPr>
          <w:cantSplit/>
        </w:trPr>
        <w:tc>
          <w:tcPr>
            <w:tcW w:type="dxa" w:w="238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Ресурсы</w:t>
            </w:r>
          </w:p>
        </w:tc>
        <w:tc>
          <w:tcPr>
            <w:tcW w:type="dxa" w:w="737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Доступный текст, время двух авторов и проверяющего, бумага или текстовый редактор. Площадка согласуется отдельно.</w:t>
            </w:r>
          </w:p>
        </w:tc>
      </w:tr>
    </w:tbl>
    <w:p>
      <w:pPr>
        <w:pStyle w:val="Small"/>
        <w:spacing w:after="20"/>
      </w:pPr>
    </w:p>
    <w:p>
      <w:pPr>
        <w:pStyle w:val="Heading2"/>
      </w:pPr>
      <w:r>
        <w:t>Последовательность</w:t>
      </w:r>
    </w:p>
    <w:p>
      <w:pPr/>
      <w:r>
        <w:t>Сначала установить происхождение текста и условия его использования. Затем независимо подготовить по одному прочтению. После обмена разделить совпадающие наблюдения и разные объяснения. Проверить существенные исторические сведения по источнику. Внести правки, сохранить разногласия и подготовить разрешённую итоговую версию.</w:t>
      </w:r>
    </w:p>
    <w:p>
      <w:pPr>
        <w:pStyle w:val="Heading2"/>
      </w:pPr>
      <w:r>
        <w:t>Три условия приёмки</w:t>
      </w:r>
    </w:p>
    <w:p>
      <w:pPr/>
      <w:r>
        <w:t>Каждое прочтение опирается на конкретные фрагменты или детали; справочные сведения прослеживаются до источника либо помечены как неустановленные; замечания рассмотрены и видно, какие правки приняты. Согласие авторов друг с другом не требуется.</w:t>
      </w:r>
    </w:p>
    <w:p>
      <w:pPr>
        <w:pStyle w:val="Heading2"/>
      </w:pPr>
      <w:r>
        <w:t>Что может не получиться</w:t>
      </w:r>
    </w:p>
    <w:p>
      <w:pPr/>
      <w:r>
        <w:t>Нет прав на публикацию исходного текста — сохраняются собственные карточки и допустимая ссылка, а не полная копия. Контекст не найден — неизвестное остаётся в карточке. Один участник прекращает работу — его вклад используется только в согласованных пределах; объём проекта пересматривается.</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Передача опыта</w:t>
            </w:r>
          </w:p>
          <w:p>
            <w:pPr>
              <w:spacing w:after="20"/>
            </w:pPr>
            <w:r>
              <w:t>В Архив направляются согласованные карточки, происхождение источника, правила обсуждения и ограничения метода. Чужой жизненный опыт не превращается в учебный материал без отдельного основания.</w:t>
            </w:r>
          </w:p>
        </w:tc>
      </w:tr>
    </w:tbl>
    <w:p>
      <w:pPr>
        <w:pStyle w:val="Small"/>
        <w:spacing w:after="0"/>
      </w:pPr>
    </w:p>
    <w:p>
      <w:r>
        <w:br w:type="page"/>
      </w:r>
    </w:p>
    <w:p>
      <w:pPr>
        <w:pStyle w:val="Eyebrow"/>
      </w:pPr>
      <w:r>
        <w:t>17 / УЧЕБНЫЙ ПРОЕКТ Б</w:t>
      </w:r>
    </w:p>
    <w:p>
      <w:bookmarkStart w:id="20" w:name="pg_20"/>
      <w:pPr>
        <w:pStyle w:val="Heading1"/>
      </w:pPr>
      <w:r>
        <w:t>Энергия учебного места</w:t>
      </w:r>
      <w:bookmarkEnd w:id="20"/>
    </w:p>
    <w:p>
      <w:pPr>
        <w:pStyle w:val="Lead"/>
      </w:pPr>
      <w:r>
        <w:t>Цель — освоить различие мощности, времени работы и расхода энергии. Это учебная задача с расчётной моделью, а не электромонтажный проект и не аудит энергосбережения.</w:t>
      </w:r>
    </w:p>
    <w:p>
      <w:pPr>
        <w:pStyle w:val="Heading2"/>
      </w:pPr>
      <w:r>
        <w:t>Паспорт задачи</w:t>
      </w:r>
    </w:p>
    <w:p>
      <w:pPr/>
      <w:r>
        <w:t>Основной D09; связи D02, D14 и D18. Участник описывает одно учебное место, выбирает доступный источник данных и предъявляет таблицу расчёта. Замена оборудования, вмешательство в сеть и выводы о здоровье или нормативной освещённости исключаются.</w:t>
      </w:r>
    </w:p>
    <w:tbl>
      <w:tblPr>
        <w:tblW w:type="auto" w:w="0"/>
        <w:jc w:val="center"/>
        <w:tblLayout w:type="fixed"/>
        <w:tblLook w:firstColumn="1" w:firstRow="1" w:lastColumn="0" w:lastRow="0" w:noHBand="0" w:noVBand="1" w:val="04A0"/>
      </w:tblPr>
      <w:tblGrid>
        <w:gridCol w:w="3402"/>
        <w:gridCol w:w="6350"/>
      </w:tblGrid>
      <w:tr>
        <w:trPr>
          <w:cantSplit/>
          <w:tblHeader/>
        </w:trPr>
        <w:tc>
          <w:tcPr>
            <w:tcW w:type="dxa" w:w="3402"/>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Учебные допущения</w:t>
            </w:r>
          </w:p>
        </w:tc>
        <w:tc>
          <w:tcPr>
            <w:tcW w:type="dxa" w:w="6350"/>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Значение / расчёт</w:t>
            </w:r>
          </w:p>
        </w:tc>
      </w:tr>
      <w:tr>
        <w:trPr>
          <w:cantSplit/>
        </w:trPr>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Постоянная мощность одного светильника</w:t>
            </w:r>
          </w:p>
        </w:tc>
        <w:tc>
          <w:tcPr>
            <w:tcW w:type="dxa" w:w="635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12 Вт = 0,012 кВт. Значение условное, не показание реального прибора.</w:t>
            </w:r>
          </w:p>
        </w:tc>
      </w:tr>
      <w:tr>
        <w:trPr>
          <w:cantSplit/>
        </w:trPr>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Сценарий А</w:t>
            </w:r>
          </w:p>
        </w:tc>
        <w:tc>
          <w:tcPr>
            <w:tcW w:type="dxa" w:w="635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2 часа в день × 5 дней = 10 часов; E = 0,012 × 10 = 0,120 кВт·ч.</w:t>
            </w:r>
          </w:p>
        </w:tc>
      </w:tr>
      <w:tr>
        <w:trPr>
          <w:cantSplit/>
        </w:trPr>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Сценарий Б</w:t>
            </w:r>
          </w:p>
        </w:tc>
        <w:tc>
          <w:tcPr>
            <w:tcW w:type="dxa" w:w="635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2 часа в день × 4 дня = 8 часов; E = 0,012 × 8 = 0,096 кВт·ч.</w:t>
            </w:r>
          </w:p>
        </w:tc>
      </w:tr>
      <w:tr>
        <w:trPr>
          <w:cantSplit/>
        </w:trPr>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Разница</w:t>
            </w:r>
          </w:p>
        </w:tc>
        <w:tc>
          <w:tcPr>
            <w:tcW w:type="dxa" w:w="635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0,120 − 0,096 = 0,024 кВт·ч; 0,024 / 0,120 × 100 = 20%.</w:t>
            </w:r>
          </w:p>
        </w:tc>
      </w:tr>
      <w:tr>
        <w:trPr>
          <w:cantSplit/>
        </w:trPr>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Что означает разница</w:t>
            </w:r>
          </w:p>
        </w:tc>
        <w:tc>
          <w:tcPr>
            <w:tcW w:type="dxa" w:w="635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В модели уменьшилось время работы. Повышение эффективности светильника не установлено.</w:t>
            </w:r>
          </w:p>
        </w:tc>
      </w:tr>
    </w:tbl>
    <w:p>
      <w:pPr>
        <w:pStyle w:val="Small"/>
        <w:spacing w:after="20"/>
      </w:pPr>
    </w:p>
    <w:p>
      <w:pPr>
        <w:pStyle w:val="Small"/>
      </w:pPr>
      <w:r>
        <w:t>Расчёт использует связь E = P × t и определение единиц мощности и энергии. В реальной задаче указываются фактический режим, источник данных и ограничения расчёта. [S07]</w:t>
      </w:r>
    </w:p>
    <w:p>
      <w:pPr>
        <w:pStyle w:val="Heading2"/>
      </w:pPr>
      <w:r>
        <w:t>Как не получить ложный вывод</w:t>
      </w:r>
    </w:p>
    <w:p>
      <w:pPr/>
      <w:r>
        <w:t>Сравнивать расход нужно вместе с выполненной задачей. Если во втором сценарии было меньше занятий, меньший расход сам по себе не подтверждает улучшения. Для вывода об эффективности требуется определить полезный результат и сопоставимые условия; этот пример такого вывода не делает.</w:t>
      </w:r>
    </w:p>
    <w:p>
      <w:pPr>
        <w:pStyle w:val="Heading2"/>
      </w:pPr>
      <w:r>
        <w:t>Приёмка</w:t>
      </w:r>
    </w:p>
    <w:p>
      <w:pPr/>
      <w:r>
        <w:t>Проверяющий восстанавливает перевод единиц и оба расчёта, видит условность исходных данных и объяснение разницы. При использовании реальных показаний прилагаются разрешённый первичный источник, период и журнал, без опасных действий ради получения данных.</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Допустимый итог</w:t>
            </w:r>
          </w:p>
          <w:p>
            <w:pPr>
              <w:spacing w:after="20"/>
            </w:pPr>
            <w:r>
              <w:t>Участник корректно рассчитал модель и отказался от неподтверждённого утверждения об экономии. Это результат освоения метода; деньги, снижение выбросов и технические эффекты не приписываются автоматически.</w:t>
            </w:r>
          </w:p>
        </w:tc>
      </w:tr>
    </w:tbl>
    <w:p>
      <w:pPr>
        <w:pStyle w:val="Small"/>
        <w:spacing w:after="0"/>
      </w:pPr>
    </w:p>
    <w:p>
      <w:r>
        <w:br w:type="page"/>
      </w:r>
    </w:p>
    <w:p>
      <w:pPr>
        <w:pStyle w:val="Eyebrow"/>
      </w:pPr>
      <w:r>
        <w:t>18 / УЧЕБНЫЙ ПРОЕКТ В</w:t>
      </w:r>
    </w:p>
    <w:p>
      <w:bookmarkStart w:id="21" w:name="pg_21"/>
      <w:pPr>
        <w:pStyle w:val="Heading1"/>
      </w:pPr>
      <w:r>
        <w:t>Живой каталог знаний</w:t>
      </w:r>
      <w:bookmarkEnd w:id="21"/>
    </w:p>
    <w:p>
      <w:pPr>
        <w:pStyle w:val="Lead"/>
      </w:pPr>
      <w:r>
        <w:t>Каталог объединяет культурные и исследовательские карточки так, чтобы другой человек мог найти источник, понять статус записи и предложить исправление.</w:t>
      </w:r>
    </w:p>
    <w:tbl>
      <w:tblPr>
        <w:tblW w:type="auto" w:w="0"/>
        <w:jc w:val="center"/>
        <w:tblLayout w:type="fixed"/>
        <w:tblLook w:firstColumn="1" w:firstRow="1" w:lastColumn="0" w:lastRow="0" w:noHBand="0" w:noVBand="1" w:val="04A0"/>
      </w:tblPr>
      <w:tblGrid>
        <w:gridCol w:w="2381"/>
        <w:gridCol w:w="7370"/>
      </w:tblGrid>
      <w:tr>
        <w:trPr>
          <w:cantSplit/>
          <w:tblHeader/>
        </w:trPr>
        <w:tc>
          <w:tcPr>
            <w:tcW w:type="dxa" w:w="2381"/>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Элемент</w:t>
            </w:r>
          </w:p>
        </w:tc>
        <w:tc>
          <w:tcPr>
            <w:tcW w:type="dxa" w:w="7370"/>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Предлагаемая запись</w:t>
            </w:r>
          </w:p>
        </w:tc>
      </w:tr>
      <w:tr>
        <w:trPr>
          <w:cantSplit/>
        </w:trPr>
        <w:tc>
          <w:tcPr>
            <w:tcW w:type="dxa" w:w="238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Выбор</w:t>
            </w:r>
          </w:p>
        </w:tc>
        <w:tc>
          <w:tcPr>
            <w:tcW w:type="dxa" w:w="737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Основной D15; связи D02, D14 и D19. P06 и P05 — по выбору участника.</w:t>
            </w:r>
          </w:p>
        </w:tc>
      </w:tr>
      <w:tr>
        <w:trPr>
          <w:cantSplit/>
        </w:trPr>
        <w:tc>
          <w:tcPr>
            <w:tcW w:type="dxa" w:w="238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Потребность</w:t>
            </w:r>
          </w:p>
        </w:tc>
        <w:tc>
          <w:tcPr>
            <w:tcW w:type="dxa" w:w="737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Материалы одной мастерской трудно найти и отличить от старых версий.</w:t>
            </w:r>
          </w:p>
        </w:tc>
      </w:tr>
      <w:tr>
        <w:trPr>
          <w:cantSplit/>
        </w:trPr>
        <w:tc>
          <w:tcPr>
            <w:tcW w:type="dxa" w:w="238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Минимальный результат</w:t>
            </w:r>
          </w:p>
        </w:tc>
        <w:tc>
          <w:tcPr>
            <w:tcW w:type="dxa" w:w="737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Восемь карточек по одному вопросу, оглавление, журнал версий и правила доступа. Число восемь — учебное допущение.</w:t>
            </w:r>
          </w:p>
        </w:tc>
      </w:tr>
      <w:tr>
        <w:trPr>
          <w:cantSplit/>
        </w:trPr>
        <w:tc>
          <w:tcPr>
            <w:tcW w:type="dxa" w:w="238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Форма</w:t>
            </w:r>
          </w:p>
        </w:tc>
        <w:tc>
          <w:tcPr>
            <w:tcW w:type="dxa" w:w="737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Папка с файлами и реестром либо бумажная картотека. Готовая интеграция с ЭКВИЛИБРИУМ не предполагается.</w:t>
            </w:r>
          </w:p>
        </w:tc>
      </w:tr>
      <w:tr>
        <w:trPr>
          <w:cantSplit/>
        </w:trPr>
        <w:tc>
          <w:tcPr>
            <w:tcW w:type="dxa" w:w="238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Границы</w:t>
            </w:r>
          </w:p>
        </w:tc>
        <w:tc>
          <w:tcPr>
            <w:tcW w:type="dxa" w:w="737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Не собирать профили участников, сведения о здоровье и чужие закрытые материалы; не копировать целиком источники без основания.</w:t>
            </w:r>
          </w:p>
        </w:tc>
      </w:tr>
    </w:tbl>
    <w:p>
      <w:pPr>
        <w:pStyle w:val="Small"/>
        <w:spacing w:after="20"/>
      </w:pPr>
    </w:p>
    <w:p>
      <w:pPr>
        <w:pStyle w:val="Heading2"/>
      </w:pPr>
      <w:r>
        <w:t>Практическая сборка</w:t>
      </w:r>
    </w:p>
    <w:p>
      <w:pPr/>
      <w:r>
        <w:t>Назначить единый код каждой карточке. Отделить исходный материал от собственного пересказа. Записать автора, дату, источник, статус проверки и право использования. В оглавлении оставить только необходимое. Сохранить прежнюю версию при исправлении; проверить, что ссылки и права доступа работают для нужного пользователя.</w:t>
      </w:r>
    </w:p>
    <w:p>
      <w:pPr>
        <w:pStyle w:val="Heading2"/>
      </w:pPr>
      <w:r>
        <w:t>Проверка на конкретном задании</w:t>
      </w:r>
    </w:p>
    <w:p>
      <w:pPr/>
      <w:r>
        <w:t>До испытания согласовать, что именно пользователь должен найти: например, основание одного утверждения и последнюю принятую версию. Во время проверки записать препятствия, а не помогать молча. Пока испытание не проведено, поле «фактический результат» остаётся незаполненным с соответствующей пометкой.</w:t>
      </w:r>
    </w:p>
    <w:p>
      <w:pPr>
        <w:pStyle w:val="Heading2"/>
      </w:pPr>
      <w:r>
        <w:t>Критерии принятия</w:t>
      </w:r>
    </w:p>
    <w:p>
      <w:pPr/>
      <w:r>
        <w:t>Каждая карточка имеет происхождение и режим доступа; выбранные ссылки проверены; устаревшая версия не выдаётся за актуальную; пользователь может передать замечание. Наличие восьми файлов само по себе не выполняет эти требования.</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Продолжение</w:t>
            </w:r>
          </w:p>
          <w:p>
            <w:pPr>
              <w:spacing w:after="20"/>
            </w:pPr>
            <w:r>
              <w:t>Вторая мастерская получает разрешённый шаблон и пробует его со своими материалами. Переносится способ организации, а не предположение, что одинаковая структура гарантирует одинаковую пользу.</w:t>
            </w:r>
          </w:p>
        </w:tc>
      </w:tr>
    </w:tbl>
    <w:p>
      <w:pPr>
        <w:pStyle w:val="Small"/>
        <w:spacing w:after="0"/>
      </w:pPr>
    </w:p>
    <w:p>
      <w:r>
        <w:br w:type="page"/>
      </w:r>
    </w:p>
    <w:p>
      <w:pPr>
        <w:pStyle w:val="Eyebrow"/>
      </w:pPr>
      <w:r>
        <w:t>19 / ПАМЯТЬ СИСТЕМЫ</w:t>
      </w:r>
    </w:p>
    <w:p>
      <w:bookmarkStart w:id="22" w:name="pg_22"/>
      <w:pPr>
        <w:pStyle w:val="Heading1"/>
      </w:pPr>
      <w:r>
        <w:t>Архив, версии и применение ИИ</w:t>
      </w:r>
      <w:bookmarkEnd w:id="22"/>
    </w:p>
    <w:p>
      <w:pPr>
        <w:pStyle w:val="Lead"/>
      </w:pPr>
      <w:r>
        <w:t>Архив сохраняет не только удачный итог, но и происхождение, метод и ограничения. Доступный файл без этих сведений ещё не является проверенным знанием.</w:t>
      </w:r>
    </w:p>
    <w:tbl>
      <w:tblPr>
        <w:tblW w:type="auto" w:w="0"/>
        <w:jc w:val="center"/>
        <w:tblLayout w:type="fixed"/>
        <w:tblLook w:firstColumn="1" w:firstRow="1" w:lastColumn="0" w:lastRow="0" w:noHBand="0" w:noVBand="1" w:val="04A0"/>
      </w:tblPr>
      <w:tblGrid>
        <w:gridCol w:w="2835"/>
        <w:gridCol w:w="6917"/>
      </w:tblGrid>
      <w:tr>
        <w:trPr>
          <w:cantSplit/>
          <w:tblHeader/>
        </w:trPr>
        <w:tc>
          <w:tcPr>
            <w:tcW w:type="dxa" w:w="283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Запись</w:t>
            </w:r>
          </w:p>
        </w:tc>
        <w:tc>
          <w:tcPr>
            <w:tcW w:type="dxa" w:w="691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Зачем она нужна</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Код / версия / статус</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Отличить черновик, принятую и архивную версию; не стирать историю.</w:t>
            </w:r>
          </w:p>
        </w:tc>
      </w:tr>
      <w:tr>
        <w:trPr>
          <w:cantSplit/>
        </w:trPr>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Автор и вклад</w:t>
            </w:r>
          </w:p>
        </w:tc>
        <w:tc>
          <w:tcPr>
            <w:tcW w:type="dxa" w:w="69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Указать, кто подготовил материал и какую помощь получил.</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Источник и дата</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Найти исходный материал и понять его временной контекст.</w:t>
            </w:r>
          </w:p>
        </w:tc>
      </w:tr>
      <w:tr>
        <w:trPr>
          <w:cantSplit/>
        </w:trPr>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Метод и подтверждение</w:t>
            </w:r>
          </w:p>
        </w:tc>
        <w:tc>
          <w:tcPr>
            <w:tcW w:type="dxa" w:w="69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Проверить путь к выводу, а не только прочитать результат.</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Права и доступ</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Определить, кто и каким способом вправе использовать запись.</w:t>
            </w:r>
          </w:p>
        </w:tc>
      </w:tr>
      <w:tr>
        <w:trPr>
          <w:cantSplit/>
        </w:trPr>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Ограничения и пересмотр</w:t>
            </w:r>
          </w:p>
        </w:tc>
        <w:tc>
          <w:tcPr>
            <w:tcW w:type="dxa" w:w="69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Понять, где применять материал нельзя и кому сообщить об ошибке.</w:t>
            </w:r>
          </w:p>
        </w:tc>
      </w:tr>
    </w:tbl>
    <w:p>
      <w:pPr>
        <w:pStyle w:val="Small"/>
        <w:spacing w:after="20"/>
      </w:pPr>
    </w:p>
    <w:p>
      <w:pPr>
        <w:pStyle w:val="Heading2"/>
      </w:pPr>
      <w:r>
        <w:t>Простое правило имени</w:t>
      </w:r>
    </w:p>
    <w:p>
      <w:pPr/>
      <w:r>
        <w:t>Например: FEN-PRJ-003_K04_v1.0. Код проекта, номер карточки и версия не меняют смысл при переносе между папками. Дата, автор и статус хранятся в карточке; файл с суффиксом «финальный_новый_2» не заменяет журнал изменений. ЭКВИЛИБРИУМ здесь — проектируемая среда связей, не утверждение о действующем программном сервисе.</w:t>
      </w:r>
    </w:p>
    <w:p>
      <w:pPr>
        <w:pStyle w:val="Heading2"/>
      </w:pPr>
      <w:r>
        <w:t>ИИ — помощник, а не источник полномочий</w:t>
      </w:r>
    </w:p>
    <w:p>
      <w:pPr/>
      <w:r>
        <w:t>В предлагаемом порядке ИИ может помочь сформулировать вопрос, упростить текст или предложить структуру. Существенные утверждения проверяет человек по первоисточникам. Вклад инструмента отмечается рядом с работой; ответ ИИ не используется как единственное доказательство. Закрытые материалы и личные данные не загружаются автоматически.</w:t>
      </w:r>
    </w:p>
    <w:p>
      <w:pPr>
        <w:pStyle w:val="Small"/>
      </w:pPr>
      <w:r>
        <w:t>Рекомендация ЮНЕСКО об этических аспектах ИИ 2021 года включает человеческий надзор и ответственность. Она используется как ориентир; конкретный порядок работы с инструментами утверждается оператором с учётом данных и применимых требований. [S08]</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Открытый доступ и открытая лицензия различаются</w:t>
            </w:r>
          </w:p>
          <w:p>
            <w:pPr>
              <w:spacing w:after="20"/>
            </w:pPr>
            <w:r>
              <w:t>В определении открытых образовательных ресурсов ЮНЕСКО важны общественное достояние или лицензия, допускающая соответствующее использование. Бесплатное чтение страницы не означает свободное право её перерабатывать и распространять. [S04]</w:t>
            </w:r>
          </w:p>
        </w:tc>
      </w:tr>
    </w:tbl>
    <w:p>
      <w:pPr>
        <w:pStyle w:val="Small"/>
        <w:spacing w:after="0"/>
      </w:pPr>
    </w:p>
    <w:p>
      <w:r>
        <w:br w:type="page"/>
      </w:r>
    </w:p>
    <w:p>
      <w:pPr>
        <w:pStyle w:val="Eyebrow"/>
      </w:pPr>
      <w:r>
        <w:t>20 / СВЯЗАННЫЕ БАЛАНСЫ</w:t>
      </w:r>
    </w:p>
    <w:p>
      <w:bookmarkStart w:id="23" w:name="pg_23"/>
      <w:pPr>
        <w:pStyle w:val="Heading1"/>
      </w:pPr>
      <w:r>
        <w:t>Одна первичная запись — несколько связей</w:t>
      </w:r>
      <w:bookmarkEnd w:id="23"/>
    </w:p>
    <w:p>
      <w:pPr>
        <w:pStyle w:val="Lead"/>
      </w:pPr>
      <w:r>
        <w:t>Связанный баланс показывает потребность, ресурс, действие и подтверждённое изменение по направлениям. Это модель проектного учёта, а не замена бухгалтерии или документа о праве.</w:t>
      </w:r>
    </w:p>
    <w:p>
      <w:pPr>
        <w:pStyle w:val="Heading2"/>
      </w:pPr>
      <w:r>
        <w:t>Четыре состояния ресурса</w:t>
      </w:r>
    </w:p>
    <w:tbl>
      <w:tblPr>
        <w:tblW w:type="auto" w:w="0"/>
        <w:jc w:val="center"/>
        <w:tblLayout w:type="fixed"/>
        <w:tblLook w:firstColumn="1" w:firstRow="1" w:lastColumn="0" w:lastRow="0" w:noHBand="0" w:noVBand="1" w:val="04A0"/>
      </w:tblPr>
      <w:tblGrid>
        <w:gridCol w:w="2835"/>
        <w:gridCol w:w="6917"/>
      </w:tblGrid>
      <w:tr>
        <w:trPr>
          <w:cantSplit/>
          <w:tblHeader/>
        </w:trPr>
        <w:tc>
          <w:tcPr>
            <w:tcW w:type="dxa" w:w="283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Состояние</w:t>
            </w:r>
          </w:p>
        </w:tc>
        <w:tc>
          <w:tcPr>
            <w:tcW w:type="dxa" w:w="691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Пример</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Требуется</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Нужны шесть человеко-часов работы с каталогом.</w:t>
            </w:r>
          </w:p>
        </w:tc>
      </w:tr>
      <w:tr>
        <w:trPr>
          <w:cantSplit/>
        </w:trPr>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Подтверждено</w:t>
            </w:r>
          </w:p>
        </w:tc>
        <w:tc>
          <w:tcPr>
            <w:tcW w:type="dxa" w:w="69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Исполнители согласовали объём и период; одна и та же занятость не обещана дважды.</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Использовано</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По журналу фактически выполнены конкретные действия и указано время.</w:t>
            </w:r>
          </w:p>
        </w:tc>
      </w:tr>
      <w:tr>
        <w:trPr>
          <w:cantSplit/>
        </w:trPr>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Осталось / изменилось</w:t>
            </w:r>
          </w:p>
        </w:tc>
        <w:tc>
          <w:tcPr>
            <w:tcW w:type="dxa" w:w="69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Зафиксирован остаток или потребность пересобрать план; обещанное не становится фактом.</w:t>
            </w:r>
          </w:p>
        </w:tc>
      </w:tr>
    </w:tbl>
    <w:p>
      <w:pPr>
        <w:pStyle w:val="Small"/>
        <w:spacing w:after="20"/>
      </w:pPr>
    </w:p>
    <w:p>
      <w:pPr>
        <w:pStyle w:val="Heading2"/>
      </w:pPr>
      <w:r>
        <w:t>Учебный пример распределения</w:t>
      </w:r>
    </w:p>
    <w:p>
      <w:pPr/>
      <w:r>
        <w:t>Общая запись R-001 содержит 6 человеко-часов. Для аналитики заранее согласовано распределение: 4 часа относятся к подготовке учебных карточек D02, 2 часа — к организации каталога D15. Сумма распределённых частей равна 6 часам. Если в обоих направлениях показана ссылка на все 6 часов, эти ссылки повторно не суммируются.</w:t>
      </w:r>
    </w:p>
    <w:p>
      <w:pPr/>
      <w:r>
        <w:t>Такое распределение описывает затраты, но не делит достоинство вклада и не создаёт два независимых результата из одной работы. Деньги, часы, число карточек и киловатт-часы показываются разными строками и не складываются в единый показатель без обоснованной модели.</w:t>
      </w:r>
    </w:p>
    <w:p>
      <w:pPr>
        <w:pStyle w:val="Heading2"/>
      </w:pPr>
      <w:r>
        <w:t>Связь с «Конструктором идеального эталона»</w:t>
      </w:r>
    </w:p>
    <w:p>
      <w:pPr/>
      <w:r>
        <w:t>Для проекта сохраняются образ, рабочие требования и факт. «Кристалл 741» остаётся предложенной структурой данных: 3 слоя × 19 направлений × 13 полей = 741 позиция. Это не новый обязательный объём отчётности, не физический закон и не подтверждение достигнутого эффекта.</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Что проверяет хранитель</w:t>
            </w:r>
          </w:p>
          <w:p>
            <w:pPr>
              <w:spacing w:after="20"/>
            </w:pPr>
            <w:r>
              <w:t>У записи есть код, объект, период, единица, источник и ответственный. Связи ведут к первичной записи; распределения проверяются на сумму; неполные данные помечены и не превращены в нулевые значения.</w:t>
            </w:r>
          </w:p>
        </w:tc>
      </w:tr>
    </w:tbl>
    <w:p>
      <w:pPr>
        <w:pStyle w:val="Small"/>
        <w:spacing w:after="0"/>
      </w:pPr>
    </w:p>
    <w:p>
      <w:r>
        <w:br w:type="page"/>
      </w:r>
    </w:p>
    <w:p>
      <w:pPr>
        <w:pStyle w:val="Eyebrow"/>
      </w:pPr>
      <w:r>
        <w:t>21 / ПРИЁМКА И ИСПРАВЛЕНИЕ</w:t>
      </w:r>
    </w:p>
    <w:p>
      <w:bookmarkStart w:id="24" w:name="pg_24"/>
      <w:pPr>
        <w:pStyle w:val="Heading1"/>
      </w:pPr>
      <w:r>
        <w:t>Рассмотреть работу, а не оценить человека</w:t>
      </w:r>
      <w:bookmarkEnd w:id="24"/>
    </w:p>
    <w:p>
      <w:pPr>
        <w:pStyle w:val="Lead"/>
      </w:pPr>
      <w:r>
        <w:t>Приёмка — решение о конкретной версии результата. Она отделена от признательности участнику, обсуждения его личности и решения о дальнейшем участии.</w:t>
      </w:r>
    </w:p>
    <w:p>
      <w:pPr>
        <w:pStyle w:val="Heading2"/>
      </w:pPr>
      <w:r>
        <w:t>Порядок рассмотрения</w:t>
      </w:r>
    </w:p>
    <w:p>
      <w:pPr/>
      <w:r>
        <w:t>Автор предъявляет согласованную версию и основания. Проверяющий выбирает предусмотренные методы, фиксирует соответствие и замечания. По спорному утверждению сначала устанавливается источник разногласия: критерий, данные, расчёт или интерпретация. Затем записываются решение, ответственный, срок исправления и режим передачи материалов.</w:t>
      </w:r>
    </w:p>
    <w:tbl>
      <w:tblPr>
        <w:tblW w:type="auto" w:w="0"/>
        <w:jc w:val="center"/>
        <w:tblLayout w:type="fixed"/>
        <w:tblLook w:firstColumn="1" w:firstRow="1" w:lastColumn="0" w:lastRow="0" w:noHBand="0" w:noVBand="1" w:val="04A0"/>
      </w:tblPr>
      <w:tblGrid>
        <w:gridCol w:w="3175"/>
        <w:gridCol w:w="6576"/>
      </w:tblGrid>
      <w:tr>
        <w:trPr>
          <w:cantSplit/>
          <w:tblHeader/>
        </w:trPr>
        <w:tc>
          <w:tcPr>
            <w:tcW w:type="dxa" w:w="317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Решение по работе</w:t>
            </w:r>
          </w:p>
        </w:tc>
        <w:tc>
          <w:tcPr>
            <w:tcW w:type="dxa" w:w="6576"/>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Последствие</w:t>
            </w:r>
          </w:p>
        </w:tc>
      </w:tr>
      <w:tr>
        <w:trPr>
          <w:cantSplit/>
        </w:trPr>
        <w:tc>
          <w:tcPr>
            <w:tcW w:type="dxa" w:w="317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Принята</w:t>
            </w:r>
          </w:p>
        </w:tc>
        <w:tc>
          <w:tcPr>
            <w:tcW w:type="dxa" w:w="657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Согласованные требования выполнены; ограничения сохраняются в карточке.</w:t>
            </w:r>
          </w:p>
        </w:tc>
      </w:tr>
      <w:tr>
        <w:trPr>
          <w:cantSplit/>
        </w:trPr>
        <w:tc>
          <w:tcPr>
            <w:tcW w:type="dxa" w:w="317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Нужна доработка</w:t>
            </w:r>
          </w:p>
        </w:tc>
        <w:tc>
          <w:tcPr>
            <w:tcW w:type="dxa" w:w="657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Указаны конкретные несоответствия, поддержка и условия повторного рассмотрения.</w:t>
            </w:r>
          </w:p>
        </w:tc>
      </w:tr>
      <w:tr>
        <w:trPr>
          <w:cantSplit/>
        </w:trPr>
        <w:tc>
          <w:tcPr>
            <w:tcW w:type="dxa" w:w="317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Рассмотрение приостановлено</w:t>
            </w:r>
          </w:p>
        </w:tc>
        <w:tc>
          <w:tcPr>
            <w:tcW w:type="dxa" w:w="657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Нет достаточных оснований или безопасных условий для решения; назван блокирующий вопрос.</w:t>
            </w:r>
          </w:p>
        </w:tc>
      </w:tr>
      <w:tr>
        <w:trPr>
          <w:cantSplit/>
        </w:trPr>
        <w:tc>
          <w:tcPr>
            <w:tcW w:type="dxa" w:w="317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Работа завершена без приёмки</w:t>
            </w:r>
          </w:p>
        </w:tc>
        <w:tc>
          <w:tcPr>
            <w:tcW w:type="dxa" w:w="657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Участник прекратил проект либо задача утратила смысл; сделанное и права на него описаны без выдуманного успеха.</w:t>
            </w:r>
          </w:p>
        </w:tc>
      </w:tr>
    </w:tbl>
    <w:p>
      <w:pPr>
        <w:pStyle w:val="Small"/>
        <w:spacing w:after="20"/>
      </w:pPr>
    </w:p>
    <w:p>
      <w:pPr>
        <w:pStyle w:val="Heading2"/>
      </w:pPr>
      <w:r>
        <w:t>Право на несогласие</w:t>
      </w:r>
    </w:p>
    <w:p>
      <w:pPr/>
      <w:r>
        <w:t>Участник получает понятное объяснение и возможность обратиться к другому уполномоченному лицу. В качестве внутреннего ориентира сохраняется предложенный в «Основах» срок первого ответа до пяти рабочих дней. Это проектный порядок, который не отменяет применимые законные права и сроки.</w:t>
      </w:r>
    </w:p>
    <w:p>
      <w:pPr>
        <w:pStyle w:val="Heading2"/>
      </w:pPr>
      <w:r>
        <w:t>После обнаружения ошибки</w:t>
      </w:r>
    </w:p>
    <w:p>
      <w:pPr/>
      <w:r>
        <w:t>Исправленная версия получает новый номер и описание изменения. При существенной ошибке прежняя публикация отмечается как пересмотренная; пользователям сообщается, какой вывод больше не подтверждается. При угрозе безопасности затронутая деятельность останавливается до обычного разбора.</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Три независимых решения</w:t>
            </w:r>
          </w:p>
          <w:p>
            <w:pPr>
              <w:spacing w:after="20"/>
            </w:pPr>
            <w:r>
              <w:t>Принять работу; разрешить публикацию; продолжить личный маршрут. Одно не влечёт автоматически другое. Человек может не публиковать принятую работу и не начинать следующий цикл.</w:t>
            </w:r>
          </w:p>
        </w:tc>
      </w:tr>
    </w:tbl>
    <w:p>
      <w:pPr>
        <w:pStyle w:val="Small"/>
        <w:spacing w:after="0"/>
      </w:pPr>
    </w:p>
    <w:p>
      <w:r>
        <w:br w:type="page"/>
      </w:r>
    </w:p>
    <w:p>
      <w:pPr>
        <w:pStyle w:val="Eyebrow"/>
      </w:pPr>
      <w:r>
        <w:t>22 / РОССИЙСКАЯ ЧАСТЬ</w:t>
      </w:r>
    </w:p>
    <w:p>
      <w:bookmarkStart w:id="25" w:name="pg_25"/>
      <w:pPr>
        <w:pStyle w:val="Heading1"/>
      </w:pPr>
      <w:r>
        <w:t>Подготовка запуска: вопросы и документы</w:t>
      </w:r>
      <w:bookmarkEnd w:id="25"/>
    </w:p>
    <w:p>
      <w:pPr>
        <w:pStyle w:val="Lead"/>
      </w:pPr>
      <w:r>
        <w:t>Этот раздел задаёт список проверок для оператора. Он не устанавливает, что конкретная площадка вправе начать деятельность, и не подменяет правовую экспертизу фактического формата.</w:t>
      </w:r>
    </w:p>
    <w:tbl>
      <w:tblPr>
        <w:tblW w:type="auto" w:w="0"/>
        <w:jc w:val="center"/>
        <w:tblLayout w:type="fixed"/>
        <w:tblLook w:firstColumn="1" w:firstRow="1" w:lastColumn="0" w:lastRow="0" w:noHBand="0" w:noVBand="1" w:val="04A0"/>
      </w:tblPr>
      <w:tblGrid>
        <w:gridCol w:w="3061"/>
        <w:gridCol w:w="6690"/>
      </w:tblGrid>
      <w:tr>
        <w:trPr>
          <w:cantSplit/>
          <w:tblHeader/>
        </w:trPr>
        <w:tc>
          <w:tcPr>
            <w:tcW w:type="dxa" w:w="3061"/>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Проверяемый вопрос</w:t>
            </w:r>
          </w:p>
        </w:tc>
        <w:tc>
          <w:tcPr>
            <w:tcW w:type="dxa" w:w="6690"/>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Документ до соответствующего действия</w:t>
            </w:r>
          </w:p>
        </w:tc>
      </w:tr>
      <w:tr>
        <w:trPr>
          <w:cantSplit/>
        </w:trPr>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Что именно проводится?</w:t>
            </w:r>
          </w:p>
        </w:tc>
        <w:tc>
          <w:tcPr>
            <w:tcW w:type="dxa" w:w="669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Описание деятельности; проверка применимого режима образования, включая вопрос лицензирования, по 273-ФЗ. [S09]</w:t>
            </w:r>
          </w:p>
        </w:tc>
      </w:tr>
      <w:tr>
        <w:trPr>
          <w:cantSplit/>
        </w:trPr>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Кто организатор и кто отвечает?</w:t>
            </w:r>
          </w:p>
        </w:tc>
        <w:tc>
          <w:tcPr>
            <w:tcW w:type="dxa" w:w="669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Сведения об операторе, полномочиях, ответственных и основаниях использования площадки.</w:t>
            </w:r>
          </w:p>
        </w:tc>
      </w:tr>
      <w:tr>
        <w:trPr>
          <w:cantSplit/>
        </w:trPr>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Какие персональные данные нужны?</w:t>
            </w:r>
          </w:p>
        </w:tc>
        <w:tc>
          <w:tcPr>
            <w:tcW w:type="dxa" w:w="669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Цель, правовое основание, необходимый состав, доступ, сроки, порядок обращений и удаления; проверка по 152-ФЗ. [S10]</w:t>
            </w:r>
          </w:p>
        </w:tc>
      </w:tr>
      <w:tr>
        <w:trPr>
          <w:cantSplit/>
        </w:trPr>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Что разрешено публиковать и передавать?</w:t>
            </w:r>
          </w:p>
        </w:tc>
        <w:tc>
          <w:tcPr>
            <w:tcW w:type="dxa" w:w="669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Отдельное решение о материалах, персональных данных и правах; при международном обмене — проверка режима передачи. [S10, S11]</w:t>
            </w:r>
          </w:p>
        </w:tc>
      </w:tr>
      <w:tr>
        <w:trPr>
          <w:cantSplit/>
        </w:trPr>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Кому принадлежат материалы?</w:t>
            </w:r>
          </w:p>
        </w:tc>
        <w:tc>
          <w:tcPr>
            <w:tcW w:type="dxa" w:w="669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Реестр авторства и оснований использования, включая переработку, перевод и распространение; часть IV ГК РФ. [S11]</w:t>
            </w:r>
          </w:p>
        </w:tc>
      </w:tr>
      <w:tr>
        <w:trPr>
          <w:cantSplit/>
        </w:trPr>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Есть ли специальные риски?</w:t>
            </w:r>
          </w:p>
        </w:tc>
        <w:tc>
          <w:tcPr>
            <w:tcW w:type="dxa" w:w="669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Карта действий: дети, оборудование, помещения, природные объекты, медицинские и другие специальные вопросы. Требования определяются по фактической задаче.</w:t>
            </w:r>
          </w:p>
        </w:tc>
      </w:tr>
    </w:tbl>
    <w:p>
      <w:pPr>
        <w:pStyle w:val="Small"/>
        <w:spacing w:after="20"/>
      </w:pPr>
    </w:p>
    <w:p>
      <w:pPr>
        <w:pStyle w:val="Heading2"/>
      </w:pPr>
      <w:r>
        <w:t>Минимальный комплект организатора</w:t>
      </w:r>
    </w:p>
    <w:p>
      <w:pPr/>
      <w:r>
        <w:t>Положение о модуле, условия участия и выхода, роли, документы площадки, порядок безопасности и обращений, документы по данным и правам, критерии приёмки, подтверждённый план ресурсов и расходы при их наличии. Формы этого тома помогают описать проект, но не заменяют требуемые договоры, согласия и разрешения.</w:t>
      </w:r>
    </w:p>
    <w:p>
      <w:pPr>
        <w:pStyle w:val="Heading2"/>
      </w:pPr>
      <w:r>
        <w:t>Статус правовых источников</w:t>
      </w:r>
    </w:p>
    <w:p>
      <w:pPr/>
      <w:r>
        <w:t>S09 — карточка первоначального официального опубликования закона; S10 — доступный ведомственный текст; S11 — официальный раздел Роспатента с нормативными материалами. Полнота редакций на дату конкретной операции, региональные требования и переходные положения подлежат отдельной сверке.</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Условие старта</w:t>
            </w:r>
          </w:p>
          <w:p>
            <w:pPr>
              <w:spacing w:after="20"/>
            </w:pPr>
            <w:r>
              <w:t>Название «клуб», «центр» или «мастерская» не является правовым заключением. До приглашения участников оператор определяет фактическое содержание, необходимые основания и ответственных.</w:t>
            </w:r>
          </w:p>
        </w:tc>
      </w:tr>
    </w:tbl>
    <w:p>
      <w:pPr>
        <w:pStyle w:val="Small"/>
        <w:spacing w:after="0"/>
      </w:pPr>
    </w:p>
    <w:p>
      <w:r>
        <w:br w:type="page"/>
      </w:r>
    </w:p>
    <w:p>
      <w:pPr>
        <w:pStyle w:val="Eyebrow"/>
      </w:pPr>
      <w:r>
        <w:t>23 / МЕЖДУНАРОДНАЯ ЧАСТЬ</w:t>
      </w:r>
    </w:p>
    <w:p>
      <w:bookmarkStart w:id="26" w:name="pg_26"/>
      <w:pPr>
        <w:pStyle w:val="Heading1"/>
      </w:pPr>
      <w:r>
        <w:t>Обмен методом, а не обещаниями</w:t>
      </w:r>
      <w:bookmarkEnd w:id="26"/>
    </w:p>
    <w:p>
      <w:pPr>
        <w:pStyle w:val="Lead"/>
      </w:pPr>
      <w:r>
        <w:t>Международная мастерская предлагается как сотрудничество по одному культурному или исследовательскому вопросу. Партнёрства, финансирование и применимость конкретных договоров подтверждаются отдельно.</w:t>
      </w:r>
    </w:p>
    <w:tbl>
      <w:tblPr>
        <w:tblW w:type="auto" w:w="0"/>
        <w:jc w:val="center"/>
        <w:tblLayout w:type="fixed"/>
        <w:tblLook w:firstColumn="1" w:firstRow="1" w:lastColumn="0" w:lastRow="0" w:noHBand="0" w:noVBand="1" w:val="04A0"/>
      </w:tblPr>
      <w:tblGrid>
        <w:gridCol w:w="3402"/>
        <w:gridCol w:w="6350"/>
      </w:tblGrid>
      <w:tr>
        <w:trPr>
          <w:cantSplit/>
          <w:tblHeader/>
        </w:trPr>
        <w:tc>
          <w:tcPr>
            <w:tcW w:type="dxa" w:w="3402"/>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Методический ориентир</w:t>
            </w:r>
          </w:p>
        </w:tc>
        <w:tc>
          <w:tcPr>
            <w:tcW w:type="dxa" w:w="6350"/>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Практическое применение</w:t>
            </w:r>
          </w:p>
        </w:tc>
      </w:tr>
      <w:tr>
        <w:trPr>
          <w:cantSplit/>
        </w:trPr>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Обучение на протяжении жизни</w:t>
            </w:r>
          </w:p>
        </w:tc>
        <w:tc>
          <w:tcPr>
            <w:tcW w:type="dxa" w:w="635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Разные возраста, жизненные контексты и формы обучения; доступный маршрут без единого обязательного темпа. [S01]</w:t>
            </w:r>
          </w:p>
        </w:tc>
      </w:tr>
      <w:tr>
        <w:trPr>
          <w:cantSplit/>
        </w:trPr>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Культура и художественное образование</w:t>
            </w:r>
          </w:p>
        </w:tc>
        <w:tc>
          <w:tcPr>
            <w:tcW w:type="dxa" w:w="635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Контекст, языковое разнообразие и связь культурной работы с обучением. [S02]</w:t>
            </w:r>
          </w:p>
        </w:tc>
      </w:tr>
      <w:tr>
        <w:trPr>
          <w:cantSplit/>
        </w:trPr>
        <w:tc>
          <w:tcPr>
            <w:tcW w:type="dxa" w:w="340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Открытая наука</w:t>
            </w:r>
          </w:p>
        </w:tc>
        <w:tc>
          <w:tcPr>
            <w:tcW w:type="dxa" w:w="6350"/>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Происхождение, метод и ответственное повторное использование материалов. [S03]</w:t>
            </w:r>
          </w:p>
        </w:tc>
      </w:tr>
      <w:tr>
        <w:trPr>
          <w:cantSplit/>
        </w:trPr>
        <w:tc>
          <w:tcPr>
            <w:tcW w:type="dxa" w:w="340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Открытые образовательные ресурсы</w:t>
            </w:r>
          </w:p>
        </w:tc>
        <w:tc>
          <w:tcPr>
            <w:tcW w:type="dxa" w:w="6350"/>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Обмен и перевод в пределах общественного достояния или соответствующей лицензии. [S04]</w:t>
            </w:r>
          </w:p>
        </w:tc>
      </w:tr>
    </w:tbl>
    <w:p>
      <w:pPr>
        <w:pStyle w:val="Small"/>
        <w:spacing w:after="20"/>
      </w:pPr>
    </w:p>
    <w:p>
      <w:pPr>
        <w:pStyle w:val="Heading2"/>
      </w:pPr>
      <w:r>
        <w:t>Модель двух мастерских</w:t>
      </w:r>
    </w:p>
    <w:p>
      <w:pPr/>
      <w:r>
        <w:t>Стороны выбирают один вопрос, согласуют словарь и одинаковые поля карточки. Каждая группа работает в своём контексте. Затем обмениваются только разрешёнными материалами, проверяют смысл перевода и объясняют различия наблюдений. Выводы одной группы не приписываются всему народу, стране или культуре.</w:t>
      </w:r>
    </w:p>
    <w:p>
      <w:pPr>
        <w:pStyle w:val="Heading2"/>
      </w:pPr>
      <w:r>
        <w:t>Краткий лист договорённостей</w:t>
      </w:r>
    </w:p>
    <w:p>
      <w:pPr/>
      <w:r>
        <w:t>Стороны и контакты; цель и результат; язык и контроль перевода; вклад и расходы; авторство и разрешённые способы использования; данные и режим доступа; применимое право и рассмотрение разногласий; приёмка и выход. Подпись под листом не заменяет обязательную для операции форму соглашения.</w:t>
      </w:r>
    </w:p>
    <w:p>
      <w:pPr>
        <w:pStyle w:val="Small"/>
      </w:pPr>
      <w:r>
        <w:t>Для передачи персональных данных и использования охраняемых материалов проверяются правила затронутых юрисдикций, а для российской стороны — применимые требования, включая 152-ФЗ и часть IV ГК РФ. Само намерение обмениваться знаниями не создаёт исключения из этих требований. [S10, S11]</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Граница международных ориентиров</w:t>
            </w:r>
          </w:p>
          <w:p>
            <w:pPr>
              <w:spacing w:after="20"/>
            </w:pPr>
            <w:r>
              <w:t>Рекомендации и рамочные документы ЮНЕСКО здесь не являются договором с ФЕНИКС, лицензией, сертификатом или сведением об одобрении программы. Предложенная процедура обмена разработана для этого тома.</w:t>
            </w:r>
          </w:p>
        </w:tc>
      </w:tr>
    </w:tbl>
    <w:p>
      <w:pPr>
        <w:pStyle w:val="Small"/>
        <w:spacing w:after="0"/>
      </w:pPr>
    </w:p>
    <w:p>
      <w:r>
        <w:br w:type="page"/>
      </w:r>
    </w:p>
    <w:p>
      <w:pPr>
        <w:pStyle w:val="Eyebrow"/>
      </w:pPr>
      <w:r>
        <w:t>24 / ПРОВЕРКА ПРОГРАММЫ</w:t>
      </w:r>
    </w:p>
    <w:p>
      <w:bookmarkStart w:id="27" w:name="pg_27"/>
      <w:pPr>
        <w:pStyle w:val="Heading1"/>
      </w:pPr>
      <w:r>
        <w:t>Итоги пилота и следующий цикл</w:t>
      </w:r>
      <w:bookmarkEnd w:id="27"/>
    </w:p>
    <w:p>
      <w:pPr>
        <w:pStyle w:val="Lead"/>
      </w:pPr>
      <w:r>
        <w:t>Первый цикл должен показать, как работает метод в данных условиях. Охват, завершение, качество работы, затраты и мнение участников учитываются отдельно.</w:t>
      </w:r>
    </w:p>
    <w:tbl>
      <w:tblPr>
        <w:tblW w:type="auto" w:w="0"/>
        <w:jc w:val="center"/>
        <w:tblLayout w:type="fixed"/>
        <w:tblLook w:firstColumn="1" w:firstRow="1" w:lastColumn="0" w:lastRow="0" w:noHBand="0" w:noVBand="1" w:val="04A0"/>
      </w:tblPr>
      <w:tblGrid>
        <w:gridCol w:w="2835"/>
        <w:gridCol w:w="6917"/>
      </w:tblGrid>
      <w:tr>
        <w:trPr>
          <w:cantSplit/>
          <w:tblHeader/>
        </w:trPr>
        <w:tc>
          <w:tcPr>
            <w:tcW w:type="dxa" w:w="283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Что наблюдать</w:t>
            </w:r>
          </w:p>
        </w:tc>
        <w:tc>
          <w:tcPr>
            <w:tcW w:type="dxa" w:w="691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1"/>
              </w:rPr>
              <w:t>Как не исказить запись</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Участие</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Начавшие, продолжающие, сделавшие паузу и завершившие; дата среза и критерий состояния.</w:t>
            </w:r>
          </w:p>
        </w:tc>
      </w:tr>
      <w:tr>
        <w:trPr>
          <w:cantSplit/>
        </w:trPr>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Работы</w:t>
            </w:r>
          </w:p>
        </w:tc>
        <w:tc>
          <w:tcPr>
            <w:tcW w:type="dxa" w:w="69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Предъявленные, принятые и направленные на доработку; одна версия не считается новым проектом.</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Освоение действия</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Сопоставимая исходная и итоговая задача, вид помощи и ограничения сравнения.</w:t>
            </w:r>
          </w:p>
        </w:tc>
      </w:tr>
      <w:tr>
        <w:trPr>
          <w:cantSplit/>
        </w:trPr>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Ресурсы</w:t>
            </w:r>
          </w:p>
        </w:tc>
        <w:tc>
          <w:tcPr>
            <w:tcW w:type="dxa" w:w="69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Факт времени, материалов, денег и энергии в отдельных единицах.</w:t>
            </w:r>
          </w:p>
        </w:tc>
      </w:tr>
      <w:tr>
        <w:trPr>
          <w:cantSplit/>
        </w:trPr>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Доступность и обращения</w:t>
            </w:r>
          </w:p>
        </w:tc>
        <w:tc>
          <w:tcPr>
            <w:tcW w:type="dxa" w:w="69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1"/>
              </w:rPr>
              <w:t>Затруднения, изменение формата, ответы и исправления без публикации лишних личных данных.</w:t>
            </w:r>
          </w:p>
        </w:tc>
      </w:tr>
      <w:tr>
        <w:trPr>
          <w:cantSplit/>
        </w:trPr>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Повторное применение</w:t>
            </w:r>
          </w:p>
        </w:tc>
        <w:tc>
          <w:tcPr>
            <w:tcW w:type="dxa" w:w="69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1"/>
              </w:rPr>
              <w:t>Кто использовал метод, в каком контексте и с какими изменениями.</w:t>
            </w:r>
          </w:p>
        </w:tc>
      </w:tr>
    </w:tbl>
    <w:p>
      <w:pPr>
        <w:pStyle w:val="Small"/>
        <w:spacing w:after="20"/>
      </w:pPr>
    </w:p>
    <w:p>
      <w:pPr>
        <w:pStyle w:val="Heading2"/>
      </w:pPr>
      <w:r>
        <w:t>Учебный пример знаменателя</w:t>
      </w:r>
    </w:p>
    <w:p>
      <w:pPr/>
      <w:r>
        <w:t>Условно: начали 12 человек, работу предъявили 10, приняты 8 работ — по одной от автора. На дату среза двое сделали паузу, две предъявленные работы требуют доработки. Доля принятых среди начавших — 8/12 = 66,7%; среди предъявивших — 8/10 = 80%. Эти числа описывают разные отношения, а не доказанную эффективность программы.</w:t>
      </w:r>
    </w:p>
    <w:p>
      <w:pPr>
        <w:pStyle w:val="Heading2"/>
      </w:pPr>
      <w:r>
        <w:t>Когда повторять и когда пересобирать</w:t>
      </w:r>
    </w:p>
    <w:p>
      <w:pPr/>
      <w:r>
        <w:t>Следующий цикл возможен, когда понятны потребность, подтверждённые ресурсы, допустимая нагрузка, безопасность и способ проверки. При системных затруднениях сначала исправляются материалы, доступность, роль наставника или объём задачи. Увеличение числа площадок не заменяет устранение причин.</w:t>
      </w:r>
    </w:p>
    <w:tbl>
      <w:tblPr>
        <w:tblW w:type="auto" w:w="0"/>
        <w:jc w:val="center"/>
        <w:tblLayout w:type="fixed"/>
        <w:tblLook w:firstColumn="1" w:firstRow="1" w:lastColumn="0" w:lastRow="0" w:noHBand="0" w:noVBand="1" w:val="04A0"/>
      </w:tblPr>
      <w:tblGrid>
        <w:gridCol w:w="9751"/>
      </w:tblGrid>
      <w:tr>
        <w:trPr>
          <w:cantSplit/>
        </w:trPr>
        <w:tc>
          <w:tcPr>
            <w:tcW w:type="dxa" w:w="9752"/>
            <w:shd w:fill="FBF5E9"/>
            <w:tcMar>
              <w:top w:w="110" w:type="dxa"/>
              <w:left w:w="160" w:type="dxa"/>
              <w:bottom w:w="110" w:type="dxa"/>
              <w:right w:w="160" w:type="dxa"/>
            </w:tcMar>
            <w:tcBorders>
              <w:left w:val="single" w:sz="18" w:color="B58436"/>
            </w:tcBorders>
          </w:tcPr>
          <w:p>
            <w:pPr>
              <w:spacing w:after="40"/>
            </w:pPr>
            <w:r>
              <w:rPr>
                <w:b/>
                <w:color w:val="173A55"/>
              </w:rPr>
              <w:t>Завершение второго тома</w:t>
            </w:r>
          </w:p>
          <w:p>
            <w:pPr>
              <w:spacing w:after="20"/>
            </w:pPr>
            <w:r>
              <w:t>Человек выбрал задачу, получил поддержку, создал работу и понял ограничения. Мастерская сохранила проверенный способ, затраты и ошибки. Следующий шаг — осознанное решение, а не обязанность постоянно расширять проект.</w:t>
            </w:r>
          </w:p>
        </w:tc>
      </w:tr>
    </w:tbl>
    <w:p>
      <w:pPr>
        <w:pStyle w:val="Small"/>
        <w:spacing w:after="0"/>
      </w:pPr>
    </w:p>
    <w:p>
      <w:pPr>
        <w:pStyle w:val="Small"/>
      </w:pPr>
      <w:r>
        <w:t>Для независимой оценки результативности потребуются отдельный исследовательский протокол и дизайн сравнения. Описательная статистика одного добровольного пилота сама по себе не устанавливает причинный эффект метода.</w:t>
      </w:r>
    </w:p>
    <w:p>
      <w:r>
        <w:br w:type="page"/>
      </w:r>
    </w:p>
    <w:p>
      <w:pPr>
        <w:pStyle w:val="Eyebrow"/>
      </w:pPr>
      <w:r>
        <w:t>ФОРМА А / F-PRC-01</w:t>
      </w:r>
    </w:p>
    <w:p>
      <w:bookmarkStart w:id="28" w:name="pg_28"/>
      <w:pPr>
        <w:pStyle w:val="Heading1"/>
      </w:pPr>
      <w:r>
        <w:t>Личный маршрут одного цикла</w:t>
      </w:r>
      <w:bookmarkEnd w:id="28"/>
    </w:p>
    <w:p>
      <w:pPr>
        <w:pStyle w:val="Small"/>
      </w:pPr>
      <w:r>
        <w:t>Заполняется участником самостоятельно или с выбранной поддержкой. Можно использовать рабочее имя или код; интимные и мировоззренческие сведения не требуются.</w:t>
      </w:r>
    </w:p>
    <w:p>
      <w:pPr>
        <w:pStyle w:val="Heading3"/>
      </w:pPr>
      <w:r>
        <w:t>1. Мой вопрос</w:t>
      </w:r>
    </w:p>
    <w:p>
      <w:pPr>
        <w:pStyle w:val="Formhint"/>
      </w:pPr>
      <w:r>
        <w:t>Что я хочу понять или научиться делать?</w:t>
      </w:r>
    </w:p>
    <w:p>
      <w:pPr>
        <w:spacing w:after="140"/>
      </w:pPr>
      <w:r>
        <w:t>_____________________________________________________________________</w:t>
      </w:r>
    </w:p>
    <w:p>
      <w:pPr>
        <w:pStyle w:val="Heading3"/>
      </w:pPr>
      <w:r>
        <w:t>2. Моя работа</w:t>
      </w:r>
    </w:p>
    <w:p>
      <w:pPr>
        <w:pStyle w:val="Formhint"/>
      </w:pPr>
      <w:r>
        <w:t>Какой небольшой результат я предъявлю к концу цикла?</w:t>
      </w:r>
    </w:p>
    <w:p>
      <w:pPr>
        <w:spacing w:after="140"/>
      </w:pPr>
      <w:r>
        <w:t>_____________________________________________________________________</w:t>
      </w:r>
    </w:p>
    <w:p>
      <w:pPr>
        <w:pStyle w:val="Heading3"/>
      </w:pPr>
      <w:r>
        <w:t>3. Мой выбор</w:t>
      </w:r>
    </w:p>
    <w:p>
      <w:pPr>
        <w:pStyle w:val="Formhint"/>
      </w:pPr>
      <w:r>
        <w:t>Основной P-контур; связанные контуры и D-направление — при необходимости.</w:t>
      </w:r>
    </w:p>
    <w:p>
      <w:pPr>
        <w:spacing w:after="140"/>
      </w:pPr>
      <w:r>
        <w:t>_____________________________________________________________________</w:t>
      </w:r>
    </w:p>
    <w:p>
      <w:pPr>
        <w:pStyle w:val="Heading3"/>
      </w:pPr>
      <w:r>
        <w:t>4. Моя исходная попытка</w:t>
      </w:r>
    </w:p>
    <w:p>
      <w:pPr>
        <w:pStyle w:val="Formhint"/>
      </w:pPr>
      <w:r>
        <w:t>Дата, образец или описание; доступная помощь и условия.</w:t>
      </w:r>
    </w:p>
    <w:p>
      <w:pPr>
        <w:spacing w:after="140"/>
      </w:pPr>
      <w:r>
        <w:t>_____________________________________________________________________</w:t>
      </w:r>
    </w:p>
    <w:p>
      <w:pPr>
        <w:pStyle w:val="Heading3"/>
      </w:pPr>
      <w:r>
        <w:t>5. Мои источники и поддержка</w:t>
      </w:r>
    </w:p>
    <w:p>
      <w:pPr>
        <w:pStyle w:val="Formhint"/>
      </w:pPr>
      <w:r>
        <w:t>Материал, наставник или партнёр; что ещё требуется найти.</w:t>
      </w:r>
    </w:p>
    <w:p>
      <w:pPr>
        <w:spacing w:after="140"/>
      </w:pPr>
      <w:r>
        <w:t>_____________________________________________________________________</w:t>
      </w:r>
    </w:p>
    <w:p>
      <w:pPr>
        <w:pStyle w:val="Heading3"/>
      </w:pPr>
      <w:r>
        <w:t>6. Моё время и условия</w:t>
      </w:r>
    </w:p>
    <w:p>
      <w:pPr>
        <w:pStyle w:val="Formhint"/>
      </w:pPr>
      <w:r>
        <w:t>Доступные часы, удобный формат, перерывы и срок разбора.</w:t>
      </w:r>
    </w:p>
    <w:p>
      <w:pPr>
        <w:spacing w:after="140"/>
      </w:pPr>
      <w:r>
        <w:t>_____________________________________________________________________</w:t>
      </w:r>
    </w:p>
    <w:p>
      <w:pPr>
        <w:pStyle w:val="Heading3"/>
      </w:pPr>
      <w:r>
        <w:t>7. Мои границы</w:t>
      </w:r>
    </w:p>
    <w:p>
      <w:pPr>
        <w:pStyle w:val="Formhint"/>
      </w:pPr>
      <w:r>
        <w:t>Что я не выполняю и не публикую; как сообщаю о паузе или выходе.</w:t>
      </w:r>
    </w:p>
    <w:p>
      <w:pPr>
        <w:spacing w:after="140"/>
      </w:pPr>
      <w:r>
        <w:t>_____________________________________________________________________</w:t>
      </w:r>
    </w:p>
    <w:p>
      <w:pPr>
        <w:pStyle w:val="Heading3"/>
      </w:pPr>
      <w:r>
        <w:t>8. Моя проверка</w:t>
      </w:r>
    </w:p>
    <w:p>
      <w:pPr>
        <w:pStyle w:val="Formhint"/>
      </w:pPr>
      <w:r>
        <w:t>Критерий, подтверждение и человек, который поможет проверить работу.</w:t>
      </w:r>
    </w:p>
    <w:p>
      <w:pPr>
        <w:spacing w:after="140"/>
      </w:pPr>
      <w:r>
        <w:t>_____________________________________________________________________</w:t>
      </w:r>
    </w:p>
    <w:p>
      <w:pPr>
        <w:pStyle w:val="Heading3"/>
      </w:pPr>
      <w:r>
        <w:t>9. Ближайшее действие</w:t>
      </w:r>
    </w:p>
    <w:p>
      <w:pPr>
        <w:pStyle w:val="Formhint"/>
      </w:pPr>
      <w:r>
        <w:t>Что, когда и с чьей поддержкой я сделаю сначала.</w:t>
      </w:r>
    </w:p>
    <w:p>
      <w:pPr>
        <w:spacing w:after="140"/>
      </w:pPr>
      <w:r>
        <w:t>_____________________________________________________________________</w:t>
      </w:r>
    </w:p>
    <w:p>
      <w:pPr>
        <w:pStyle w:val="Small"/>
      </w:pPr>
      <w:r>
        <w:t>Дата: __________________  Код / имя: __________________  Версия: __________</w:t>
      </w:r>
    </w:p>
    <w:p>
      <w:pPr>
        <w:pStyle w:val="Small"/>
      </w:pPr>
      <w:r>
        <w:t>Заполнение маршрута не является согласием на его публичное распространение.</w:t>
      </w:r>
    </w:p>
    <w:p>
      <w:r>
        <w:br w:type="page"/>
      </w:r>
    </w:p>
    <w:p>
      <w:pPr>
        <w:pStyle w:val="Eyebrow"/>
      </w:pPr>
      <w:r>
        <w:t>ФОРМА Б / F-PRC-02</w:t>
      </w:r>
    </w:p>
    <w:p>
      <w:bookmarkStart w:id="29" w:name="pg_29"/>
      <w:pPr>
        <w:pStyle w:val="Heading1"/>
      </w:pPr>
      <w:r>
        <w:t>Источник и культурная работа</w:t>
      </w:r>
      <w:bookmarkEnd w:id="29"/>
    </w:p>
    <w:p>
      <w:pPr>
        <w:pStyle w:val="Lead"/>
      </w:pPr>
      <w:r>
        <w:t>Одна карточка связывает собственную работу с материалом, его происхождением и границами интерпретации. Неизвестное обозначается прямо.</w:t>
      </w:r>
    </w:p>
    <w:tbl>
      <w:tblPr>
        <w:tblW w:type="auto" w:w="0"/>
        <w:jc w:val="center"/>
        <w:tblLayout w:type="fixed"/>
        <w:tblLook w:firstColumn="1" w:firstRow="1" w:lastColumn="0" w:lastRow="0" w:noHBand="0" w:noVBand="1" w:val="04A0"/>
      </w:tblPr>
      <w:tblGrid>
        <w:gridCol w:w="3005"/>
        <w:gridCol w:w="6746"/>
      </w:tblGrid>
      <w:tr>
        <w:trPr>
          <w:cantSplit/>
          <w:tblHeader/>
        </w:trPr>
        <w:tc>
          <w:tcPr>
            <w:tcW w:type="dxa" w:w="300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Поле</w:t>
            </w:r>
          </w:p>
        </w:tc>
        <w:tc>
          <w:tcPr>
            <w:tcW w:type="dxa" w:w="6746"/>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Запись</w:t>
            </w:r>
          </w:p>
        </w:tc>
      </w:tr>
      <w:tr>
        <w:trPr>
          <w:cantSplit/>
        </w:trPr>
        <w:tc>
          <w:tcPr>
            <w:tcW w:type="dxa" w:w="300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Код / дата / версия</w:t>
            </w:r>
          </w:p>
        </w:tc>
        <w:tc>
          <w:tcPr>
            <w:tcW w:type="dxa" w:w="674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________________________________________________</w:t>
              <w:br/>
              <w:t>________________________________________________</w:t>
            </w:r>
          </w:p>
        </w:tc>
      </w:tr>
      <w:tr>
        <w:trPr>
          <w:cantSplit/>
        </w:trPr>
        <w:tc>
          <w:tcPr>
            <w:tcW w:type="dxa" w:w="300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Название объекта или материала</w:t>
            </w:r>
          </w:p>
        </w:tc>
        <w:tc>
          <w:tcPr>
            <w:tcW w:type="dxa" w:w="674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________________________________________________</w:t>
              <w:br/>
              <w:t>________________________________________________</w:t>
            </w:r>
          </w:p>
        </w:tc>
      </w:tr>
      <w:tr>
        <w:trPr>
          <w:cantSplit/>
        </w:trPr>
        <w:tc>
          <w:tcPr>
            <w:tcW w:type="dxa" w:w="300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Автор / происхождение</w:t>
            </w:r>
          </w:p>
        </w:tc>
        <w:tc>
          <w:tcPr>
            <w:tcW w:type="dxa" w:w="674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Автор, организация или «не установлен»: __________________</w:t>
              <w:br/>
              <w:t>________________________________________________</w:t>
            </w:r>
          </w:p>
        </w:tc>
      </w:tr>
      <w:tr>
        <w:trPr>
          <w:cantSplit/>
        </w:trPr>
        <w:tc>
          <w:tcPr>
            <w:tcW w:type="dxa" w:w="300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Где найти источник</w:t>
            </w:r>
          </w:p>
        </w:tc>
        <w:tc>
          <w:tcPr>
            <w:tcW w:type="dxa" w:w="674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Ссылка или архивный шифр; страница; дата обращения:</w:t>
              <w:br/>
              <w:t>________________________________________________</w:t>
            </w:r>
          </w:p>
        </w:tc>
      </w:tr>
      <w:tr>
        <w:trPr>
          <w:cantSplit/>
        </w:trPr>
        <w:tc>
          <w:tcPr>
            <w:tcW w:type="dxa" w:w="300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Существенное утверждение</w:t>
            </w:r>
          </w:p>
        </w:tc>
        <w:tc>
          <w:tcPr>
            <w:tcW w:type="dxa" w:w="674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________________________________________________</w:t>
              <w:br/>
              <w:t>________________________________________________</w:t>
            </w:r>
          </w:p>
        </w:tc>
      </w:tr>
      <w:tr>
        <w:trPr>
          <w:cantSplit/>
        </w:trPr>
        <w:tc>
          <w:tcPr>
            <w:tcW w:type="dxa" w:w="300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Что подтверждает источник</w:t>
            </w:r>
          </w:p>
        </w:tc>
        <w:tc>
          <w:tcPr>
            <w:tcW w:type="dxa" w:w="674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________________________________________________</w:t>
              <w:br/>
              <w:t>________________________________________________</w:t>
            </w:r>
          </w:p>
        </w:tc>
      </w:tr>
      <w:tr>
        <w:trPr>
          <w:cantSplit/>
        </w:trPr>
        <w:tc>
          <w:tcPr>
            <w:tcW w:type="dxa" w:w="300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Контекст / ограничения</w:t>
            </w:r>
          </w:p>
        </w:tc>
        <w:tc>
          <w:tcPr>
            <w:tcW w:type="dxa" w:w="674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________________________________________________</w:t>
              <w:br/>
              <w:t>________________________________________________</w:t>
            </w:r>
          </w:p>
        </w:tc>
      </w:tr>
      <w:tr>
        <w:trPr>
          <w:cantSplit/>
        </w:trPr>
        <w:tc>
          <w:tcPr>
            <w:tcW w:type="dxa" w:w="300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Моё прочтение</w:t>
            </w:r>
          </w:p>
        </w:tc>
        <w:tc>
          <w:tcPr>
            <w:tcW w:type="dxa" w:w="674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________________________________________________</w:t>
              <w:br/>
              <w:t>________________________________________________</w:t>
            </w:r>
          </w:p>
        </w:tc>
      </w:tr>
      <w:tr>
        <w:trPr>
          <w:cantSplit/>
        </w:trPr>
        <w:tc>
          <w:tcPr>
            <w:tcW w:type="dxa" w:w="300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Иное возможное прочтение</w:t>
            </w:r>
          </w:p>
        </w:tc>
        <w:tc>
          <w:tcPr>
            <w:tcW w:type="dxa" w:w="674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________________________________________________</w:t>
              <w:br/>
              <w:t>________________________________________________</w:t>
            </w:r>
          </w:p>
        </w:tc>
      </w:tr>
      <w:tr>
        <w:trPr>
          <w:cantSplit/>
        </w:trPr>
        <w:tc>
          <w:tcPr>
            <w:tcW w:type="dxa" w:w="300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Проверка / правки</w:t>
            </w:r>
          </w:p>
        </w:tc>
        <w:tc>
          <w:tcPr>
            <w:tcW w:type="dxa" w:w="674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Кто проверил и что исправлено: _________________________</w:t>
              <w:br/>
              <w:t>________________________________________________</w:t>
            </w:r>
          </w:p>
        </w:tc>
      </w:tr>
      <w:tr>
        <w:trPr>
          <w:cantSplit/>
        </w:trPr>
        <w:tc>
          <w:tcPr>
            <w:tcW w:type="dxa" w:w="300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Право использования / доступ</w:t>
            </w:r>
          </w:p>
        </w:tc>
        <w:tc>
          <w:tcPr>
            <w:tcW w:type="dxa" w:w="674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Лицензия или иное основание; допустимые действия:</w:t>
              <w:br/>
              <w:t>________________________________________________</w:t>
            </w:r>
          </w:p>
        </w:tc>
      </w:tr>
    </w:tbl>
    <w:p>
      <w:pPr>
        <w:pStyle w:val="Small"/>
        <w:spacing w:after="20"/>
      </w:pPr>
    </w:p>
    <w:p>
      <w:pPr>
        <w:pStyle w:val="Small"/>
      </w:pPr>
      <w:r>
        <w:t>Для каждой записи различайте: факт по источнику, собственное наблюдение, интерпретацию, гипотезу и неизвестное. Участие ИИ в поиске, переводе или подготовке текста указывается отдельно; сведения проверяются человеком.</w:t>
      </w:r>
    </w:p>
    <w:p>
      <w:r>
        <w:br w:type="page"/>
      </w:r>
    </w:p>
    <w:p>
      <w:pPr>
        <w:pStyle w:val="Eyebrow"/>
      </w:pPr>
      <w:r>
        <w:t>ФОРМА В / F-PRC-03</w:t>
      </w:r>
    </w:p>
    <w:p>
      <w:bookmarkStart w:id="30" w:name="pg_30"/>
      <w:pPr>
        <w:pStyle w:val="Heading1"/>
      </w:pPr>
      <w:r>
        <w:t>Протокол учебного наблюдения</w:t>
      </w:r>
      <w:bookmarkEnd w:id="30"/>
    </w:p>
    <w:p>
      <w:pPr>
        <w:pStyle w:val="Small"/>
      </w:pPr>
      <w:r>
        <w:t>Сначала согласуются вопрос, метод и условия; затем создаются первичные записи. Исправления не должны скрывать исходную запись.</w:t>
      </w:r>
    </w:p>
    <w:p>
      <w:pPr>
        <w:pStyle w:val="Heading3"/>
      </w:pPr>
      <w:r>
        <w:t>Вопрос, объект и период</w:t>
      </w:r>
    </w:p>
    <w:p>
      <w:pPr>
        <w:pStyle w:val="Formhint"/>
      </w:pPr>
      <w:r>
        <w:t>Код проекта и то, чего наблюдение не устанавливает.</w:t>
      </w:r>
    </w:p>
    <w:p>
      <w:pPr>
        <w:spacing w:after="140"/>
      </w:pPr>
      <w:r>
        <w:t>_____________________________________________________________________</w:t>
      </w:r>
    </w:p>
    <w:p>
      <w:pPr>
        <w:pStyle w:val="Heading3"/>
      </w:pPr>
      <w:r>
        <w:t>Метод и допустимые условия</w:t>
      </w:r>
    </w:p>
    <w:p>
      <w:pPr>
        <w:pStyle w:val="Formhint"/>
      </w:pPr>
      <w:r>
        <w:t>Источник или прибор; единицы; условия записи; основания остановки.</w:t>
      </w:r>
    </w:p>
    <w:p>
      <w:pPr>
        <w:spacing w:after="140"/>
      </w:pPr>
      <w:r>
        <w:t>_____________________________________________________________________</w:t>
      </w:r>
    </w:p>
    <w:p>
      <w:pPr>
        <w:spacing w:after="140"/>
      </w:pPr>
      <w:r>
        <w:t>_____________________________________________________________________</w:t>
      </w:r>
    </w:p>
    <w:p>
      <w:pPr>
        <w:pStyle w:val="Heading3"/>
      </w:pPr>
      <w:r>
        <w:t>Правило сравнения</w:t>
      </w:r>
    </w:p>
    <w:p>
      <w:pPr>
        <w:pStyle w:val="Formhint"/>
      </w:pPr>
      <w:r>
        <w:t>Что сопоставляется и какие различия условий необходимо объяснить.</w:t>
      </w:r>
    </w:p>
    <w:p>
      <w:pPr>
        <w:spacing w:after="140"/>
      </w:pPr>
      <w:r>
        <w:t>_____________________________________________________________________</w:t>
      </w:r>
    </w:p>
    <w:tbl>
      <w:tblPr>
        <w:tblW w:type="auto" w:w="0"/>
        <w:jc w:val="center"/>
        <w:tblLayout w:type="fixed"/>
        <w:tblLook w:firstColumn="1" w:firstRow="1" w:lastColumn="0" w:lastRow="0" w:noHBand="0" w:noVBand="1" w:val="04A0"/>
      </w:tblPr>
      <w:tblGrid>
        <w:gridCol w:w="1701"/>
        <w:gridCol w:w="2835"/>
        <w:gridCol w:w="3061"/>
        <w:gridCol w:w="2154"/>
      </w:tblGrid>
      <w:tr>
        <w:trPr>
          <w:cantSplit/>
          <w:tblHeader/>
        </w:trPr>
        <w:tc>
          <w:tcPr>
            <w:tcW w:type="dxa" w:w="1701"/>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Дата / код</w:t>
            </w:r>
          </w:p>
        </w:tc>
        <w:tc>
          <w:tcPr>
            <w:tcW w:type="dxa" w:w="283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Исходная запись</w:t>
            </w:r>
          </w:p>
        </w:tc>
        <w:tc>
          <w:tcPr>
            <w:tcW w:type="dxa" w:w="3061"/>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Условия / пропуски</w:t>
            </w:r>
          </w:p>
        </w:tc>
        <w:tc>
          <w:tcPr>
            <w:tcW w:type="dxa" w:w="2154"/>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Источник</w:t>
            </w:r>
          </w:p>
        </w:tc>
      </w:tr>
      <w:tr>
        <w:trPr>
          <w:cantSplit/>
          <w:trHeight w:val="408" w:hRule="atLeast"/>
        </w:trPr>
        <w:tc>
          <w:tcPr>
            <w:tcW w:type="dxa" w:w="170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r>
          </w:p>
        </w:tc>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w:t>
            </w:r>
          </w:p>
        </w:tc>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w:t>
            </w:r>
          </w:p>
        </w:tc>
        <w:tc>
          <w:tcPr>
            <w:tcW w:type="dxa" w:w="215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r>
          </w:p>
        </w:tc>
      </w:tr>
      <w:tr>
        <w:trPr>
          <w:cantSplit/>
          <w:trHeight w:val="408" w:hRule="atLeast"/>
        </w:trPr>
        <w:tc>
          <w:tcPr>
            <w:tcW w:type="dxa" w:w="170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r>
          </w:p>
        </w:tc>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w:t>
            </w:r>
          </w:p>
        </w:tc>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w:t>
            </w:r>
          </w:p>
        </w:tc>
        <w:tc>
          <w:tcPr>
            <w:tcW w:type="dxa" w:w="215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r>
          </w:p>
        </w:tc>
      </w:tr>
      <w:tr>
        <w:trPr>
          <w:cantSplit/>
          <w:trHeight w:val="408" w:hRule="atLeast"/>
        </w:trPr>
        <w:tc>
          <w:tcPr>
            <w:tcW w:type="dxa" w:w="170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r>
          </w:p>
        </w:tc>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w:t>
            </w:r>
          </w:p>
        </w:tc>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w:t>
            </w:r>
          </w:p>
        </w:tc>
        <w:tc>
          <w:tcPr>
            <w:tcW w:type="dxa" w:w="215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r>
          </w:p>
        </w:tc>
      </w:tr>
      <w:tr>
        <w:trPr>
          <w:cantSplit/>
          <w:trHeight w:val="408" w:hRule="atLeast"/>
        </w:trPr>
        <w:tc>
          <w:tcPr>
            <w:tcW w:type="dxa" w:w="170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r>
          </w:p>
        </w:tc>
        <w:tc>
          <w:tcPr>
            <w:tcW w:type="dxa" w:w="283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w:t>
            </w:r>
          </w:p>
        </w:tc>
        <w:tc>
          <w:tcPr>
            <w:tcW w:type="dxa" w:w="3061"/>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w:t>
            </w:r>
          </w:p>
        </w:tc>
        <w:tc>
          <w:tcPr>
            <w:tcW w:type="dxa" w:w="215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r>
          </w:p>
        </w:tc>
      </w:tr>
      <w:tr>
        <w:trPr>
          <w:cantSplit/>
          <w:trHeight w:val="408" w:hRule="atLeast"/>
        </w:trPr>
        <w:tc>
          <w:tcPr>
            <w:tcW w:type="dxa" w:w="170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r>
          </w:p>
        </w:tc>
        <w:tc>
          <w:tcPr>
            <w:tcW w:type="dxa" w:w="283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w:t>
            </w:r>
          </w:p>
        </w:tc>
        <w:tc>
          <w:tcPr>
            <w:tcW w:type="dxa" w:w="3061"/>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w:t>
            </w:r>
          </w:p>
        </w:tc>
        <w:tc>
          <w:tcPr>
            <w:tcW w:type="dxa" w:w="215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r>
          </w:p>
        </w:tc>
      </w:tr>
    </w:tbl>
    <w:p>
      <w:pPr>
        <w:pStyle w:val="Small"/>
        <w:spacing w:after="20"/>
      </w:pPr>
    </w:p>
    <w:p>
      <w:pPr>
        <w:pStyle w:val="Heading3"/>
      </w:pPr>
      <w:r>
        <w:t>Расчёт или способ анализа</w:t>
      </w:r>
    </w:p>
    <w:p>
      <w:pPr>
        <w:pStyle w:val="Formhint"/>
      </w:pPr>
      <w:r>
        <w:t>Формула, исходные числа, последовательность; файл расчёта при наличии.</w:t>
      </w:r>
    </w:p>
    <w:p>
      <w:pPr>
        <w:spacing w:after="140"/>
      </w:pPr>
      <w:r>
        <w:t>_____________________________________________________________________</w:t>
      </w:r>
    </w:p>
    <w:p>
      <w:pPr>
        <w:pStyle w:val="Heading3"/>
      </w:pPr>
      <w:r>
        <w:t>Вывод и ограничения</w:t>
      </w:r>
    </w:p>
    <w:p>
      <w:pPr>
        <w:pStyle w:val="Formhint"/>
      </w:pPr>
      <w:r>
        <w:t>Что установлено; что не подтверждено; какие другие объяснения возможны.</w:t>
      </w:r>
    </w:p>
    <w:p>
      <w:pPr>
        <w:spacing w:after="140"/>
      </w:pPr>
      <w:r>
        <w:t>_____________________________________________________________________</w:t>
      </w:r>
    </w:p>
    <w:p>
      <w:pPr>
        <w:spacing w:after="140"/>
      </w:pPr>
      <w:r>
        <w:t>_____________________________________________________________________</w:t>
      </w:r>
    </w:p>
    <w:p>
      <w:pPr>
        <w:pStyle w:val="Heading3"/>
      </w:pPr>
      <w:r>
        <w:t>Проверяющий и следующий шаг</w:t>
      </w:r>
    </w:p>
    <w:p>
      <w:pPr>
        <w:pStyle w:val="Formhint"/>
      </w:pPr>
      <w:r>
        <w:t>Имя или код, дата, замечание, дополнительная проверка.</w:t>
      </w:r>
    </w:p>
    <w:p>
      <w:pPr>
        <w:spacing w:after="140"/>
      </w:pPr>
      <w:r>
        <w:t>_____________________________________________________________________</w:t>
      </w:r>
    </w:p>
    <w:p>
      <w:pPr>
        <w:pStyle w:val="Small"/>
      </w:pPr>
      <w:r>
        <w:t>Отсутствие данных не обозначается нулём. Учебный протокол не заменяет профессиональное заключение, экспертизу или технический допуск.</w:t>
      </w:r>
    </w:p>
    <w:p>
      <w:r>
        <w:br w:type="page"/>
      </w:r>
    </w:p>
    <w:p>
      <w:pPr>
        <w:pStyle w:val="Eyebrow"/>
      </w:pPr>
      <w:r>
        <w:t>ФОРМА Г / F-PRC-04</w:t>
      </w:r>
    </w:p>
    <w:p>
      <w:bookmarkStart w:id="31" w:name="pg_31"/>
      <w:pPr>
        <w:pStyle w:val="Heading1"/>
      </w:pPr>
      <w:r>
        <w:t>Паспорт практического проекта</w:t>
      </w:r>
      <w:bookmarkEnd w:id="31"/>
    </w:p>
    <w:p>
      <w:pPr>
        <w:pStyle w:val="Small"/>
      </w:pPr>
      <w:r>
        <w:t>Единые поля M01–M13 связывают задачу, ресурсы и проверку. При необходимости строки расширяются или сопровождаются приложениями.</w:t>
      </w:r>
    </w:p>
    <w:tbl>
      <w:tblPr>
        <w:tblW w:type="auto" w:w="0"/>
        <w:jc w:val="center"/>
        <w:tblLayout w:type="fixed"/>
        <w:tblLook w:firstColumn="1" w:firstRow="1" w:lastColumn="0" w:lastRow="0" w:noHBand="0" w:noVBand="1" w:val="04A0"/>
      </w:tblPr>
      <w:tblGrid>
        <w:gridCol w:w="3175"/>
        <w:gridCol w:w="6576"/>
      </w:tblGrid>
      <w:tr>
        <w:trPr>
          <w:cantSplit/>
          <w:tblHeader/>
        </w:trPr>
        <w:tc>
          <w:tcPr>
            <w:tcW w:type="dxa" w:w="3175"/>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Поле паспорта</w:t>
            </w:r>
          </w:p>
        </w:tc>
        <w:tc>
          <w:tcPr>
            <w:tcW w:type="dxa" w:w="6576"/>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Запись</w:t>
            </w:r>
          </w:p>
        </w:tc>
      </w:tr>
      <w:tr>
        <w:trPr>
          <w:cantSplit/>
        </w:trPr>
        <w:tc>
          <w:tcPr>
            <w:tcW w:type="dxa" w:w="317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M01 / Идентификация</w:t>
            </w:r>
          </w:p>
        </w:tc>
        <w:tc>
          <w:tcPr>
            <w:tcW w:type="dxa" w:w="657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Название, код, версия, дата: ___________________________</w:t>
            </w:r>
          </w:p>
        </w:tc>
      </w:tr>
      <w:tr>
        <w:trPr>
          <w:cantSplit/>
        </w:trPr>
        <w:tc>
          <w:tcPr>
            <w:tcW w:type="dxa" w:w="317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M02 / Потребность</w:t>
            </w:r>
          </w:p>
        </w:tc>
        <w:tc>
          <w:tcPr>
            <w:tcW w:type="dxa" w:w="657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Кому и для чего нужно: _______________________________</w:t>
              <w:br/>
              <w:t>________________________________________________</w:t>
            </w:r>
          </w:p>
        </w:tc>
      </w:tr>
      <w:tr>
        <w:trPr>
          <w:cantSplit/>
        </w:trPr>
        <w:tc>
          <w:tcPr>
            <w:tcW w:type="dxa" w:w="317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M03 / Участники</w:t>
            </w:r>
          </w:p>
        </w:tc>
        <w:tc>
          <w:tcPr>
            <w:tcW w:type="dxa" w:w="657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Автор, наставник, оператор, проверяющий: ________________</w:t>
            </w:r>
          </w:p>
        </w:tc>
      </w:tr>
      <w:tr>
        <w:trPr>
          <w:cantSplit/>
        </w:trPr>
        <w:tc>
          <w:tcPr>
            <w:tcW w:type="dxa" w:w="317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M04 / Границы</w:t>
            </w:r>
          </w:p>
        </w:tc>
        <w:tc>
          <w:tcPr>
            <w:tcW w:type="dxa" w:w="657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Объект, период, включено / исключено: __________________</w:t>
            </w:r>
          </w:p>
        </w:tc>
      </w:tr>
      <w:tr>
        <w:trPr>
          <w:cantSplit/>
        </w:trPr>
        <w:tc>
          <w:tcPr>
            <w:tcW w:type="dxa" w:w="317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M05 / Направления</w:t>
            </w:r>
          </w:p>
        </w:tc>
        <w:tc>
          <w:tcPr>
            <w:tcW w:type="dxa" w:w="657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Основной D-код; связанные D и выбранные P: ______________</w:t>
            </w:r>
          </w:p>
        </w:tc>
      </w:tr>
      <w:tr>
        <w:trPr>
          <w:cantSplit/>
        </w:trPr>
        <w:tc>
          <w:tcPr>
            <w:tcW w:type="dxa" w:w="317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M06 / Знания</w:t>
            </w:r>
          </w:p>
        </w:tc>
        <w:tc>
          <w:tcPr>
            <w:tcW w:type="dxa" w:w="657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Источники, метод, права, недостающие знания: _____________</w:t>
              <w:br/>
              <w:t>________________________________________________</w:t>
            </w:r>
          </w:p>
        </w:tc>
      </w:tr>
      <w:tr>
        <w:trPr>
          <w:cantSplit/>
        </w:trPr>
        <w:tc>
          <w:tcPr>
            <w:tcW w:type="dxa" w:w="317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M07 / Результат</w:t>
            </w:r>
          </w:p>
        </w:tc>
        <w:tc>
          <w:tcPr>
            <w:tcW w:type="dxa" w:w="657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Желаемый образ: ____________________________________</w:t>
              <w:br/>
              <w:t>Проверяемые требования: ______________________________</w:t>
              <w:br/>
              <w:t>Факт / ещё не получен: ________________________________</w:t>
            </w:r>
          </w:p>
        </w:tc>
      </w:tr>
      <w:tr>
        <w:trPr>
          <w:cantSplit/>
        </w:trPr>
        <w:tc>
          <w:tcPr>
            <w:tcW w:type="dxa" w:w="317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M08 / План</w:t>
            </w:r>
          </w:p>
        </w:tc>
        <w:tc>
          <w:tcPr>
            <w:tcW w:type="dxa" w:w="657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Этапы, сроки, действия, ответственные: __________________</w:t>
              <w:br/>
              <w:t>________________________________________________</w:t>
            </w:r>
          </w:p>
        </w:tc>
      </w:tr>
      <w:tr>
        <w:trPr>
          <w:cantSplit/>
        </w:trPr>
        <w:tc>
          <w:tcPr>
            <w:tcW w:type="dxa" w:w="317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M09 / Ресурсы</w:t>
            </w:r>
          </w:p>
        </w:tc>
        <w:tc>
          <w:tcPr>
            <w:tcW w:type="dxa" w:w="657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Потребность, подтверждение, единицы, предел: ____________</w:t>
              <w:br/>
              <w:t>________________________________________________</w:t>
            </w:r>
          </w:p>
        </w:tc>
      </w:tr>
      <w:tr>
        <w:trPr>
          <w:cantSplit/>
        </w:trPr>
        <w:tc>
          <w:tcPr>
            <w:tcW w:type="dxa" w:w="317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M10 / Финансирование</w:t>
            </w:r>
          </w:p>
        </w:tc>
        <w:tc>
          <w:tcPr>
            <w:tcW w:type="dxa" w:w="657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Источники, расходы, основания, ответственный: ___________</w:t>
            </w:r>
          </w:p>
        </w:tc>
      </w:tr>
      <w:tr>
        <w:trPr>
          <w:cantSplit/>
        </w:trPr>
        <w:tc>
          <w:tcPr>
            <w:tcW w:type="dxa" w:w="317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M11 / Право и безопасность</w:t>
            </w:r>
          </w:p>
        </w:tc>
        <w:tc>
          <w:tcPr>
            <w:tcW w:type="dxa" w:w="657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Основания, риски, стоп-условия, доступ: __________________</w:t>
              <w:br/>
              <w:t>________________________________________________</w:t>
            </w:r>
          </w:p>
        </w:tc>
      </w:tr>
      <w:tr>
        <w:trPr>
          <w:cantSplit/>
        </w:trPr>
        <w:tc>
          <w:tcPr>
            <w:tcW w:type="dxa" w:w="3175"/>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M12 / Данные и доказательства</w:t>
            </w:r>
          </w:p>
        </w:tc>
        <w:tc>
          <w:tcPr>
            <w:tcW w:type="dxa" w:w="6576"/>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Метод, записи, критерии, места хранения: _________________</w:t>
              <w:br/>
              <w:t>________________________________________________</w:t>
            </w:r>
          </w:p>
        </w:tc>
      </w:tr>
      <w:tr>
        <w:trPr>
          <w:cantSplit/>
        </w:trPr>
        <w:tc>
          <w:tcPr>
            <w:tcW w:type="dxa" w:w="3175"/>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M13 / Приемка и продолжение</w:t>
            </w:r>
          </w:p>
        </w:tc>
        <w:tc>
          <w:tcPr>
            <w:tcW w:type="dxa" w:w="6576"/>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Кто, когда и по какому правилу проверяет: ________________</w:t>
              <w:br/>
              <w:t>Решение и дата пересмотра: ____________________________</w:t>
            </w:r>
          </w:p>
        </w:tc>
      </w:tr>
    </w:tbl>
    <w:p>
      <w:pPr>
        <w:pStyle w:val="Small"/>
        <w:spacing w:after="20"/>
      </w:pPr>
    </w:p>
    <w:p>
      <w:pPr>
        <w:pStyle w:val="Small"/>
      </w:pPr>
      <w:r>
        <w:t>Автор: __________________  Дата: __________  Рассмотрено до начала: __________</w:t>
      </w:r>
    </w:p>
    <w:p>
      <w:pPr>
        <w:pStyle w:val="Small"/>
      </w:pPr>
      <w:r>
        <w:t>Отметка о рассмотрении — внутреннее решение проекта, а не замена требуемых разрешений.</w:t>
      </w:r>
    </w:p>
    <w:p>
      <w:r>
        <w:br w:type="page"/>
      </w:r>
    </w:p>
    <w:p>
      <w:pPr>
        <w:pStyle w:val="Eyebrow"/>
      </w:pPr>
      <w:r>
        <w:t>ФОРМА Д / F-PRC-05</w:t>
      </w:r>
    </w:p>
    <w:p>
      <w:bookmarkStart w:id="32" w:name="pg_32"/>
      <w:pPr>
        <w:pStyle w:val="Heading1"/>
      </w:pPr>
      <w:r>
        <w:t>Журнал ресурсов и связей</w:t>
      </w:r>
      <w:bookmarkEnd w:id="32"/>
    </w:p>
    <w:p>
      <w:pPr>
        <w:pStyle w:val="Heading3"/>
      </w:pPr>
      <w:r>
        <w:t>Проект, период и ответственный</w:t>
      </w:r>
    </w:p>
    <w:p>
      <w:pPr>
        <w:pStyle w:val="Formhint"/>
      </w:pPr>
      <w:r>
        <w:t>Версия паспорта; единый источник первичной записи.</w:t>
      </w:r>
    </w:p>
    <w:p>
      <w:pPr>
        <w:spacing w:after="140"/>
      </w:pPr>
      <w:r>
        <w:t>_____________________________________________________________________</w:t>
      </w:r>
    </w:p>
    <w:tbl>
      <w:tblPr>
        <w:tblW w:type="auto" w:w="0"/>
        <w:jc w:val="center"/>
        <w:tblLayout w:type="fixed"/>
        <w:tblLook w:firstColumn="1" w:firstRow="1" w:lastColumn="0" w:lastRow="0" w:noHBand="0" w:noVBand="1" w:val="04A0"/>
      </w:tblPr>
      <w:tblGrid>
        <w:gridCol w:w="2948"/>
        <w:gridCol w:w="1134"/>
        <w:gridCol w:w="1417"/>
        <w:gridCol w:w="1417"/>
        <w:gridCol w:w="1417"/>
        <w:gridCol w:w="1417"/>
      </w:tblGrid>
      <w:tr>
        <w:trPr>
          <w:cantSplit/>
          <w:tblHeader/>
        </w:trPr>
        <w:tc>
          <w:tcPr>
            <w:tcW w:type="dxa" w:w="2948"/>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Код / ресурс</w:t>
            </w:r>
          </w:p>
        </w:tc>
        <w:tc>
          <w:tcPr>
            <w:tcW w:type="dxa" w:w="1134"/>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Ед.</w:t>
            </w:r>
          </w:p>
        </w:tc>
        <w:tc>
          <w:tcPr>
            <w:tcW w:type="dxa" w:w="141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Нужно</w:t>
            </w:r>
          </w:p>
        </w:tc>
        <w:tc>
          <w:tcPr>
            <w:tcW w:type="dxa" w:w="141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Подтв.</w:t>
            </w:r>
          </w:p>
        </w:tc>
        <w:tc>
          <w:tcPr>
            <w:tcW w:type="dxa" w:w="141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Факт</w:t>
            </w:r>
          </w:p>
        </w:tc>
        <w:tc>
          <w:tcPr>
            <w:tcW w:type="dxa" w:w="141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Остаток</w:t>
            </w:r>
          </w:p>
        </w:tc>
      </w:tr>
      <w:tr>
        <w:trPr>
          <w:cantSplit/>
          <w:trHeight w:val="437" w:hRule="atLeast"/>
        </w:trPr>
        <w:tc>
          <w:tcPr>
            <w:tcW w:type="dxa" w:w="294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w:t>
            </w:r>
          </w:p>
        </w:tc>
        <w:tc>
          <w:tcPr>
            <w:tcW w:type="dxa" w:w="113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r>
      <w:tr>
        <w:trPr>
          <w:cantSplit/>
          <w:trHeight w:val="437" w:hRule="atLeast"/>
        </w:trPr>
        <w:tc>
          <w:tcPr>
            <w:tcW w:type="dxa" w:w="294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w:t>
            </w:r>
          </w:p>
        </w:tc>
        <w:tc>
          <w:tcPr>
            <w:tcW w:type="dxa" w:w="113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r>
      <w:tr>
        <w:trPr>
          <w:cantSplit/>
          <w:trHeight w:val="437" w:hRule="atLeast"/>
        </w:trPr>
        <w:tc>
          <w:tcPr>
            <w:tcW w:type="dxa" w:w="294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w:t>
            </w:r>
          </w:p>
        </w:tc>
        <w:tc>
          <w:tcPr>
            <w:tcW w:type="dxa" w:w="113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r>
      <w:tr>
        <w:trPr>
          <w:cantSplit/>
          <w:trHeight w:val="437" w:hRule="atLeast"/>
        </w:trPr>
        <w:tc>
          <w:tcPr>
            <w:tcW w:type="dxa" w:w="294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w:t>
            </w:r>
          </w:p>
        </w:tc>
        <w:tc>
          <w:tcPr>
            <w:tcW w:type="dxa" w:w="113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r>
      <w:tr>
        <w:trPr>
          <w:cantSplit/>
          <w:trHeight w:val="437" w:hRule="atLeast"/>
        </w:trPr>
        <w:tc>
          <w:tcPr>
            <w:tcW w:type="dxa" w:w="294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w:t>
            </w:r>
          </w:p>
        </w:tc>
        <w:tc>
          <w:tcPr>
            <w:tcW w:type="dxa" w:w="113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w:t>
            </w:r>
          </w:p>
        </w:tc>
      </w:tr>
      <w:tr>
        <w:trPr>
          <w:cantSplit/>
          <w:trHeight w:val="437" w:hRule="atLeast"/>
        </w:trPr>
        <w:tc>
          <w:tcPr>
            <w:tcW w:type="dxa" w:w="294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w:t>
            </w:r>
          </w:p>
        </w:tc>
        <w:tc>
          <w:tcPr>
            <w:tcW w:type="dxa" w:w="113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c>
          <w:tcPr>
            <w:tcW w:type="dxa" w:w="141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w:t>
            </w:r>
          </w:p>
        </w:tc>
      </w:tr>
    </w:tbl>
    <w:p>
      <w:pPr>
        <w:pStyle w:val="Small"/>
        <w:spacing w:after="20"/>
      </w:pPr>
    </w:p>
    <w:p>
      <w:pPr>
        <w:pStyle w:val="Small"/>
      </w:pPr>
      <w:r>
        <w:t>«Подтв.» — подтверждённый доступный объём, а не устное обещание. Остаток рассчитывается только для сопоставимых величин за один период. Время в человеко-часах, энергию в кВт·ч, деньги в рублях и количество материалов записывают в разных строках.</w:t>
      </w:r>
    </w:p>
    <w:p>
      <w:pPr>
        <w:pStyle w:val="Heading2"/>
      </w:pPr>
      <w:r>
        <w:t>Основания и распределение</w:t>
      </w:r>
    </w:p>
    <w:tbl>
      <w:tblPr>
        <w:tblW w:type="auto" w:w="0"/>
        <w:jc w:val="center"/>
        <w:tblLayout w:type="fixed"/>
        <w:tblLook w:firstColumn="1" w:firstRow="1" w:lastColumn="0" w:lastRow="0" w:noHBand="0" w:noVBand="1" w:val="04A0"/>
      </w:tblPr>
      <w:tblGrid>
        <w:gridCol w:w="1814"/>
        <w:gridCol w:w="3969"/>
        <w:gridCol w:w="3969"/>
      </w:tblGrid>
      <w:tr>
        <w:trPr>
          <w:cantSplit/>
          <w:tblHeader/>
        </w:trPr>
        <w:tc>
          <w:tcPr>
            <w:tcW w:type="dxa" w:w="1814"/>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Код ресурса</w:t>
            </w:r>
          </w:p>
        </w:tc>
        <w:tc>
          <w:tcPr>
            <w:tcW w:type="dxa" w:w="3969"/>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Документ / источник</w:t>
            </w:r>
          </w:p>
        </w:tc>
        <w:tc>
          <w:tcPr>
            <w:tcW w:type="dxa" w:w="3969"/>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Связи и распределение</w:t>
            </w:r>
          </w:p>
        </w:tc>
      </w:tr>
      <w:tr>
        <w:trPr>
          <w:cantSplit/>
          <w:trHeight w:val="408" w:hRule="atLeast"/>
        </w:trPr>
        <w:tc>
          <w:tcPr>
            <w:tcW w:type="dxa" w:w="181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r>
          </w:p>
        </w:tc>
        <w:tc>
          <w:tcPr>
            <w:tcW w:type="dxa" w:w="3969"/>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________________________</w:t>
            </w:r>
          </w:p>
        </w:tc>
        <w:tc>
          <w:tcPr>
            <w:tcW w:type="dxa" w:w="3969"/>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________________________</w:t>
            </w:r>
          </w:p>
        </w:tc>
      </w:tr>
      <w:tr>
        <w:trPr>
          <w:cantSplit/>
          <w:trHeight w:val="408" w:hRule="atLeast"/>
        </w:trPr>
        <w:tc>
          <w:tcPr>
            <w:tcW w:type="dxa" w:w="181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r>
          </w:p>
        </w:tc>
        <w:tc>
          <w:tcPr>
            <w:tcW w:type="dxa" w:w="3969"/>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________________________</w:t>
            </w:r>
          </w:p>
        </w:tc>
        <w:tc>
          <w:tcPr>
            <w:tcW w:type="dxa" w:w="3969"/>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________________________</w:t>
            </w:r>
          </w:p>
        </w:tc>
      </w:tr>
      <w:tr>
        <w:trPr>
          <w:cantSplit/>
          <w:trHeight w:val="408" w:hRule="atLeast"/>
        </w:trPr>
        <w:tc>
          <w:tcPr>
            <w:tcW w:type="dxa" w:w="181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r>
          </w:p>
        </w:tc>
        <w:tc>
          <w:tcPr>
            <w:tcW w:type="dxa" w:w="3969"/>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________________________</w:t>
            </w:r>
          </w:p>
        </w:tc>
        <w:tc>
          <w:tcPr>
            <w:tcW w:type="dxa" w:w="3969"/>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________________________</w:t>
            </w:r>
          </w:p>
        </w:tc>
      </w:tr>
      <w:tr>
        <w:trPr>
          <w:cantSplit/>
          <w:trHeight w:val="408" w:hRule="atLeast"/>
        </w:trPr>
        <w:tc>
          <w:tcPr>
            <w:tcW w:type="dxa" w:w="181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r>
          </w:p>
        </w:tc>
        <w:tc>
          <w:tcPr>
            <w:tcW w:type="dxa" w:w="3969"/>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________________________</w:t>
            </w:r>
          </w:p>
        </w:tc>
        <w:tc>
          <w:tcPr>
            <w:tcW w:type="dxa" w:w="3969"/>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________________________</w:t>
            </w:r>
          </w:p>
        </w:tc>
      </w:tr>
    </w:tbl>
    <w:p>
      <w:pPr>
        <w:pStyle w:val="Small"/>
        <w:spacing w:after="20"/>
      </w:pPr>
    </w:p>
    <w:p>
      <w:pPr>
        <w:pStyle w:val="Small"/>
      </w:pPr>
      <w:r>
        <w:t>Один ресурс учитывается один раз. В связанных направлениях фиксируются ссылки или доли его распределения, но не повторное появление того же объёма.</w:t>
      </w:r>
    </w:p>
    <w:p>
      <w:pPr>
        <w:pStyle w:val="Heading3"/>
      </w:pPr>
      <w:r>
        <w:t>Отклонение и причина</w:t>
      </w:r>
    </w:p>
    <w:p>
      <w:pPr>
        <w:pStyle w:val="Formhint"/>
      </w:pPr>
      <w:r>
        <w:t>Что изменилось относительно плана; какие действия пока не обеспечены.</w:t>
      </w:r>
    </w:p>
    <w:p>
      <w:pPr>
        <w:spacing w:after="140"/>
      </w:pPr>
      <w:r>
        <w:t>_____________________________________________________________________</w:t>
      </w:r>
    </w:p>
    <w:p>
      <w:pPr>
        <w:spacing w:after="140"/>
      </w:pPr>
      <w:r>
        <w:t>_____________________________________________________________________</w:t>
      </w:r>
    </w:p>
    <w:p>
      <w:pPr>
        <w:pStyle w:val="Heading3"/>
      </w:pPr>
      <w:r>
        <w:t>Решение</w:t>
      </w:r>
    </w:p>
    <w:p>
      <w:pPr>
        <w:pStyle w:val="Formhint"/>
      </w:pPr>
      <w:r>
        <w:t>Кто и когда подтверждает перенос, сокращение или дополнительный ресурс.</w:t>
      </w:r>
    </w:p>
    <w:p>
      <w:pPr>
        <w:spacing w:after="140"/>
      </w:pPr>
      <w:r>
        <w:t>_____________________________________________________________________</w:t>
      </w:r>
    </w:p>
    <w:p>
      <w:pPr>
        <w:pStyle w:val="Small"/>
      </w:pPr>
      <w:r>
        <w:t>Форма предназначена для управления проектом; она не заменяет бухгалтерские регистры и не устанавливает право собственности на ресурс.</w:t>
      </w:r>
    </w:p>
    <w:p>
      <w:r>
        <w:br w:type="page"/>
      </w:r>
    </w:p>
    <w:p>
      <w:pPr>
        <w:pStyle w:val="Eyebrow"/>
      </w:pPr>
      <w:r>
        <w:t>ФОРМА Е / F-PRC-06 / ЛИСТ 1 ИЗ 2</w:t>
      </w:r>
    </w:p>
    <w:p>
      <w:bookmarkStart w:id="33" w:name="pg_33"/>
      <w:pPr>
        <w:pStyle w:val="Heading1"/>
      </w:pPr>
      <w:r>
        <w:t>Польза и реализуемость</w:t>
      </w:r>
      <w:bookmarkEnd w:id="33"/>
    </w:p>
    <w:p>
      <w:pPr>
        <w:pStyle w:val="Small"/>
      </w:pPr>
      <w:r>
        <w:t>Проект / версия: __________________________  Дата: __________________</w:t>
      </w:r>
    </w:p>
    <w:p>
      <w:pPr>
        <w:pStyle w:val="Small"/>
      </w:pPr>
      <w:r>
        <w:t>Этап: до старта / промежуточный разбор / приёмка. До появления результата проверяется готовность способа подтверждения; сам результат не отмечается как уже полученный.</w:t>
      </w:r>
    </w:p>
    <w:tbl>
      <w:tblPr>
        <w:tblW w:type="auto" w:w="0"/>
        <w:jc w:val="center"/>
        <w:tblLayout w:type="fixed"/>
        <w:tblLook w:firstColumn="1" w:firstRow="1" w:lastColumn="0" w:lastRow="0" w:noHBand="0" w:noVBand="1" w:val="04A0"/>
      </w:tblPr>
      <w:tblGrid>
        <w:gridCol w:w="907"/>
        <w:gridCol w:w="4762"/>
        <w:gridCol w:w="1587"/>
        <w:gridCol w:w="2494"/>
      </w:tblGrid>
      <w:tr>
        <w:trPr>
          <w:cantSplit/>
          <w:tblHeader/>
        </w:trPr>
        <w:tc>
          <w:tcPr>
            <w:tcW w:type="dxa" w:w="90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Код</w:t>
            </w:r>
          </w:p>
        </w:tc>
        <w:tc>
          <w:tcPr>
            <w:tcW w:type="dxa" w:w="4762"/>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Контрольная проверка</w:t>
            </w:r>
          </w:p>
        </w:tc>
        <w:tc>
          <w:tcPr>
            <w:tcW w:type="dxa" w:w="158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Статус</w:t>
            </w:r>
          </w:p>
        </w:tc>
        <w:tc>
          <w:tcPr>
            <w:tcW w:type="dxa" w:w="2494"/>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Доказательство / кто</w:t>
            </w:r>
          </w:p>
        </w:tc>
      </w:tr>
      <w:tr>
        <w:trPr>
          <w:cantSplit/>
          <w:trHeight w:val="680" w:hRule="atLeast"/>
        </w:trPr>
        <w:tc>
          <w:tcPr>
            <w:tcW w:type="dxa" w:w="90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Q01</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Потребность подтверждена участником или владельцем задачи.</w:t>
            </w:r>
          </w:p>
        </w:tc>
        <w:tc>
          <w:tcPr>
            <w:tcW w:type="dxa" w:w="158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Q02</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Человек может выбрать маршрут, сделать паузу и выйти.</w:t>
            </w:r>
          </w:p>
        </w:tc>
        <w:tc>
          <w:tcPr>
            <w:tcW w:type="dxa" w:w="158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Q03</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Границы объекта, периода и группы явно описаны.</w:t>
            </w:r>
          </w:p>
        </w:tc>
        <w:tc>
          <w:tcPr>
            <w:tcW w:type="dxa" w:w="158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Q04</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Исходное состояние отделено от желаемого результата.</w:t>
            </w:r>
          </w:p>
        </w:tc>
        <w:tc>
          <w:tcPr>
            <w:tcW w:type="dxa" w:w="158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Q05</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Критерии понятны пользователю и проверяющему.</w:t>
            </w:r>
          </w:p>
        </w:tc>
        <w:tc>
          <w:tcPr>
            <w:tcW w:type="dxa" w:w="158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Q06</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Нужные знания, метод и наставник доступны.</w:t>
            </w:r>
          </w:p>
        </w:tc>
        <w:tc>
          <w:tcPr>
            <w:tcW w:type="dxa" w:w="158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Q07</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Ресурсы подтверждены; нет двойного обещания одного ресурса.</w:t>
            </w:r>
          </w:p>
        </w:tc>
        <w:tc>
          <w:tcPr>
            <w:tcW w:type="dxa" w:w="158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Q08</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Сроки и нагрузка согласованы с исполнителями.</w:t>
            </w:r>
          </w:p>
        </w:tc>
        <w:tc>
          <w:tcPr>
            <w:tcW w:type="dxa" w:w="158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Q09</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Финансовый план имеет основание и ответственного.</w:t>
            </w:r>
          </w:p>
        </w:tc>
        <w:tc>
          <w:tcPr>
            <w:tcW w:type="dxa" w:w="158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Q10</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Роли, полномочия и зависимости определены.</w:t>
            </w:r>
          </w:p>
        </w:tc>
        <w:tc>
          <w:tcPr>
            <w:tcW w:type="dxa" w:w="158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br/>
              <w:t>____________</w:t>
            </w:r>
          </w:p>
        </w:tc>
      </w:tr>
    </w:tbl>
    <w:p>
      <w:pPr>
        <w:pStyle w:val="Small"/>
        <w:spacing w:after="20"/>
      </w:pPr>
    </w:p>
    <w:p>
      <w:pPr>
        <w:pStyle w:val="Small"/>
      </w:pPr>
      <w:r>
        <w:t>Статусы: «подтверждено»; «нужна доработка»; «неприменимо — с объяснением». Пояснение и ссылка на документ или наблюдение обязательны для принятого решения.</w:t>
      </w:r>
    </w:p>
    <w:p>
      <w:pPr>
        <w:pStyle w:val="Heading3"/>
      </w:pPr>
      <w:r>
        <w:t>Необходимые исправления</w:t>
      </w:r>
    </w:p>
    <w:p>
      <w:pPr>
        <w:pStyle w:val="Formhint"/>
      </w:pPr>
      <w:r>
        <w:t>Что, кто и к какому сроку уточняет; какая поддержка нужна.</w:t>
      </w:r>
    </w:p>
    <w:p>
      <w:pPr>
        <w:spacing w:after="140"/>
      </w:pPr>
      <w:r>
        <w:t>_____________________________________________________________________</w:t>
      </w:r>
    </w:p>
    <w:p>
      <w:pPr>
        <w:spacing w:after="140"/>
      </w:pPr>
      <w:r>
        <w:t>_____________________________________________________________________</w:t>
      </w:r>
    </w:p>
    <w:p>
      <w:pPr>
        <w:pStyle w:val="Small"/>
      </w:pPr>
      <w:r>
        <w:t>Проверяющий: __________________  Следующий разбор: __________________</w:t>
      </w:r>
    </w:p>
    <w:p>
      <w:pPr>
        <w:pStyle w:val="Small"/>
      </w:pPr>
      <w:r>
        <w:t>Проверки не складываются в общий балл человека или проекта.</w:t>
      </w:r>
    </w:p>
    <w:p>
      <w:r>
        <w:br w:type="page"/>
      </w:r>
    </w:p>
    <w:p>
      <w:pPr>
        <w:pStyle w:val="Eyebrow"/>
      </w:pPr>
      <w:r>
        <w:t>ФОРМА Е / F-PRC-06 / ЛИСТ 2 ИЗ 2</w:t>
      </w:r>
    </w:p>
    <w:p>
      <w:bookmarkStart w:id="34" w:name="pg_34"/>
      <w:pPr>
        <w:pStyle w:val="Heading1"/>
      </w:pPr>
      <w:r>
        <w:t>Безопасность и доказательства</w:t>
      </w:r>
      <w:bookmarkEnd w:id="34"/>
    </w:p>
    <w:p>
      <w:pPr>
        <w:pStyle w:val="Small"/>
      </w:pPr>
      <w:r>
        <w:t>Проект / версия: __________________________  Дата: __________________</w:t>
      </w:r>
    </w:p>
    <w:p>
      <w:pPr>
        <w:pStyle w:val="Small"/>
      </w:pPr>
      <w:r>
        <w:t>Продолжение листа Q01–Q10. Для каждого неприменимого пункта объясняется причина; отсутствие доказательства не означает подтверждения.</w:t>
      </w:r>
    </w:p>
    <w:tbl>
      <w:tblPr>
        <w:tblW w:type="auto" w:w="0"/>
        <w:jc w:val="center"/>
        <w:tblLayout w:type="fixed"/>
        <w:tblLook w:firstColumn="1" w:firstRow="1" w:lastColumn="0" w:lastRow="0" w:noHBand="0" w:noVBand="1" w:val="04A0"/>
      </w:tblPr>
      <w:tblGrid>
        <w:gridCol w:w="907"/>
        <w:gridCol w:w="4762"/>
        <w:gridCol w:w="1587"/>
        <w:gridCol w:w="2494"/>
      </w:tblGrid>
      <w:tr>
        <w:trPr>
          <w:cantSplit/>
          <w:tblHeader/>
        </w:trPr>
        <w:tc>
          <w:tcPr>
            <w:tcW w:type="dxa" w:w="90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Код</w:t>
            </w:r>
          </w:p>
        </w:tc>
        <w:tc>
          <w:tcPr>
            <w:tcW w:type="dxa" w:w="4762"/>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Контрольная проверка</w:t>
            </w:r>
          </w:p>
        </w:tc>
        <w:tc>
          <w:tcPr>
            <w:tcW w:type="dxa" w:w="1587"/>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Статус</w:t>
            </w:r>
          </w:p>
        </w:tc>
        <w:tc>
          <w:tcPr>
            <w:tcW w:type="dxa" w:w="2494"/>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Доказательство / кто</w:t>
            </w:r>
          </w:p>
        </w:tc>
      </w:tr>
      <w:tr>
        <w:trPr>
          <w:cantSplit/>
          <w:trHeight w:val="680" w:hRule="atLeast"/>
        </w:trPr>
        <w:tc>
          <w:tcPr>
            <w:tcW w:type="dxa" w:w="90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Q11</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Выявлены правовые основания и обязательные требования.</w:t>
            </w:r>
          </w:p>
        </w:tc>
        <w:tc>
          <w:tcPr>
            <w:tcW w:type="dxa" w:w="158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Q12</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Определены риски, стоп-условия и порядок реагирования.</w:t>
            </w:r>
          </w:p>
        </w:tc>
        <w:tc>
          <w:tcPr>
            <w:tcW w:type="dxa" w:w="158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Q13</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Учтены доступность и отсутствие принуждения.</w:t>
            </w:r>
          </w:p>
        </w:tc>
        <w:tc>
          <w:tcPr>
            <w:tcW w:type="dxa" w:w="158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Q14</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Права на материалы и режим данных установлены.</w:t>
            </w:r>
          </w:p>
        </w:tc>
        <w:tc>
          <w:tcPr>
            <w:tcW w:type="dxa" w:w="158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Q15</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Проверены побочные эффекты в связанных направлениях.</w:t>
            </w:r>
          </w:p>
        </w:tc>
        <w:tc>
          <w:tcPr>
            <w:tcW w:type="dxa" w:w="158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Q16</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Для критерия заданы единицы, метод и правило решения.</w:t>
            </w:r>
          </w:p>
        </w:tc>
        <w:tc>
          <w:tcPr>
            <w:tcW w:type="dxa" w:w="158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Q17</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Периоды и условия сопоставимы либо различия объяснены.</w:t>
            </w:r>
          </w:p>
        </w:tc>
        <w:tc>
          <w:tcPr>
            <w:tcW w:type="dxa" w:w="158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Q18</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Данные, расчеты и ограничения доступны проверяющему.</w:t>
            </w:r>
          </w:p>
        </w:tc>
        <w:tc>
          <w:tcPr>
            <w:tcW w:type="dxa" w:w="158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Q19</w:t>
            </w:r>
          </w:p>
        </w:tc>
        <w:tc>
          <w:tcPr>
            <w:tcW w:type="dxa" w:w="4762"/>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Результат проверен не только его автором.</w:t>
            </w:r>
          </w:p>
        </w:tc>
        <w:tc>
          <w:tcPr>
            <w:tcW w:type="dxa" w:w="1587"/>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w:t>
              <w:br/>
              <w:t>____________</w:t>
            </w:r>
          </w:p>
        </w:tc>
      </w:tr>
      <w:tr>
        <w:trPr>
          <w:cantSplit/>
          <w:trHeight w:val="680" w:hRule="atLeast"/>
        </w:trPr>
        <w:tc>
          <w:tcPr>
            <w:tcW w:type="dxa" w:w="90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Q20</w:t>
            </w:r>
          </w:p>
        </w:tc>
        <w:tc>
          <w:tcPr>
            <w:tcW w:type="dxa" w:w="4762"/>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Назначены версия, срок пересмотра и канал исправления.</w:t>
            </w:r>
          </w:p>
        </w:tc>
        <w:tc>
          <w:tcPr>
            <w:tcW w:type="dxa" w:w="1587"/>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w:t>
              <w:br/>
              <w:t>________</w:t>
            </w:r>
          </w:p>
        </w:tc>
        <w:tc>
          <w:tcPr>
            <w:tcW w:type="dxa" w:w="2494"/>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w:t>
              <w:br/>
              <w:t>____________</w:t>
            </w:r>
          </w:p>
        </w:tc>
      </w:tr>
    </w:tbl>
    <w:p>
      <w:pPr>
        <w:pStyle w:val="Small"/>
        <w:spacing w:after="20"/>
      </w:pPr>
    </w:p>
    <w:p>
      <w:pPr>
        <w:pStyle w:val="Small"/>
      </w:pPr>
      <w:r>
        <w:t>Статусы: «подтверждено»; «нужна доработка»; «неприменимо — с объяснением». Неустранённое критическое условие останавливает соответствующее действие независимо от остальных отметок.</w:t>
      </w:r>
    </w:p>
    <w:p>
      <w:pPr>
        <w:pStyle w:val="Heading3"/>
      </w:pPr>
      <w:r>
        <w:t>Остановка и условия возобновления</w:t>
      </w:r>
    </w:p>
    <w:p>
      <w:pPr>
        <w:pStyle w:val="Formhint"/>
      </w:pPr>
      <w:r>
        <w:t>Действие, причина, ответственный, подтверждение устранения риска.</w:t>
      </w:r>
    </w:p>
    <w:p>
      <w:pPr>
        <w:spacing w:after="140"/>
      </w:pPr>
      <w:r>
        <w:t>_____________________________________________________________________</w:t>
      </w:r>
    </w:p>
    <w:p>
      <w:pPr>
        <w:spacing w:after="140"/>
      </w:pPr>
      <w:r>
        <w:t>_____________________________________________________________________</w:t>
      </w:r>
    </w:p>
    <w:p>
      <w:pPr>
        <w:pStyle w:val="Small"/>
      </w:pPr>
      <w:r>
        <w:t>Проверяющий: __________________  Следующий разбор: __________________</w:t>
      </w:r>
    </w:p>
    <w:p>
      <w:pPr>
        <w:pStyle w:val="Small"/>
      </w:pPr>
      <w:r>
        <w:t>История проверки и прежние версии сохраняются с установленным режимом доступа.</w:t>
      </w:r>
    </w:p>
    <w:p>
      <w:r>
        <w:br w:type="page"/>
      </w:r>
    </w:p>
    <w:p>
      <w:pPr>
        <w:pStyle w:val="Eyebrow"/>
      </w:pPr>
      <w:r>
        <w:t>ФОРМА Ж / F-PRC-07</w:t>
      </w:r>
    </w:p>
    <w:p>
      <w:bookmarkStart w:id="35" w:name="pg_35"/>
      <w:pPr>
        <w:pStyle w:val="Heading1"/>
      </w:pPr>
      <w:r>
        <w:t>Приёмка и пересмотр</w:t>
      </w:r>
      <w:bookmarkEnd w:id="35"/>
    </w:p>
    <w:p>
      <w:pPr>
        <w:pStyle w:val="Small"/>
      </w:pPr>
      <w:r>
        <w:t>Принимается определённая работа по согласованным требованиям. Решение не устанавливает ценность человека и не обязывает его продолжать участие.</w:t>
      </w:r>
    </w:p>
    <w:tbl>
      <w:tblPr>
        <w:tblW w:type="auto" w:w="0"/>
        <w:jc w:val="center"/>
        <w:tblLayout w:type="fixed"/>
        <w:tblLook w:firstColumn="1" w:firstRow="1" w:lastColumn="0" w:lastRow="0" w:noHBand="0" w:noVBand="1" w:val="04A0"/>
      </w:tblPr>
      <w:tblGrid>
        <w:gridCol w:w="2948"/>
        <w:gridCol w:w="6803"/>
      </w:tblGrid>
      <w:tr>
        <w:trPr>
          <w:cantSplit/>
          <w:tblHeader/>
        </w:trPr>
        <w:tc>
          <w:tcPr>
            <w:tcW w:type="dxa" w:w="2948"/>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Поле</w:t>
            </w:r>
          </w:p>
        </w:tc>
        <w:tc>
          <w:tcPr>
            <w:tcW w:type="dxa" w:w="6803"/>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Запись</w:t>
            </w:r>
          </w:p>
        </w:tc>
      </w:tr>
      <w:tr>
        <w:trPr>
          <w:cantSplit/>
        </w:trPr>
        <w:tc>
          <w:tcPr>
            <w:tcW w:type="dxa" w:w="294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Проект / версия / дата</w:t>
            </w:r>
          </w:p>
        </w:tc>
        <w:tc>
          <w:tcPr>
            <w:tcW w:type="dxa" w:w="680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________________________________________________</w:t>
              <w:br/>
              <w:t>________________________________________________</w:t>
            </w:r>
          </w:p>
        </w:tc>
      </w:tr>
      <w:tr>
        <w:trPr>
          <w:cantSplit/>
        </w:trPr>
        <w:tc>
          <w:tcPr>
            <w:tcW w:type="dxa" w:w="294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Автор и проверяющий</w:t>
            </w:r>
          </w:p>
        </w:tc>
        <w:tc>
          <w:tcPr>
            <w:tcW w:type="dxa" w:w="680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Имена или коды; возможный конфликт интересов:</w:t>
              <w:br/>
              <w:t>________________________________________________</w:t>
            </w:r>
          </w:p>
        </w:tc>
      </w:tr>
      <w:tr>
        <w:trPr>
          <w:cantSplit/>
        </w:trPr>
        <w:tc>
          <w:tcPr>
            <w:tcW w:type="dxa" w:w="294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Предмет приёмки</w:t>
            </w:r>
          </w:p>
        </w:tc>
        <w:tc>
          <w:tcPr>
            <w:tcW w:type="dxa" w:w="680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Работа, состав, границы и заявленный результат:</w:t>
              <w:br/>
              <w:t>________________________________________________</w:t>
            </w:r>
          </w:p>
        </w:tc>
      </w:tr>
      <w:tr>
        <w:trPr>
          <w:cantSplit/>
        </w:trPr>
        <w:tc>
          <w:tcPr>
            <w:tcW w:type="dxa" w:w="294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Критерии и версия</w:t>
            </w:r>
          </w:p>
        </w:tc>
        <w:tc>
          <w:tcPr>
            <w:tcW w:type="dxa" w:w="680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________________________________________________</w:t>
              <w:br/>
              <w:t>________________________________________________</w:t>
            </w:r>
          </w:p>
        </w:tc>
      </w:tr>
      <w:tr>
        <w:trPr>
          <w:cantSplit/>
        </w:trPr>
        <w:tc>
          <w:tcPr>
            <w:tcW w:type="dxa" w:w="294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Доказательства</w:t>
            </w:r>
          </w:p>
        </w:tc>
        <w:tc>
          <w:tcPr>
            <w:tcW w:type="dxa" w:w="680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Файлы, первичные записи, протокол Q01–Q20:</w:t>
              <w:br/>
              <w:t>________________________________________________</w:t>
            </w:r>
          </w:p>
        </w:tc>
      </w:tr>
      <w:tr>
        <w:trPr>
          <w:cantSplit/>
        </w:trPr>
        <w:tc>
          <w:tcPr>
            <w:tcW w:type="dxa" w:w="294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Подтверждено / неизвестно</w:t>
            </w:r>
          </w:p>
        </w:tc>
        <w:tc>
          <w:tcPr>
            <w:tcW w:type="dxa" w:w="680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________________________________________________</w:t>
              <w:br/>
              <w:t>________________________________________________</w:t>
            </w:r>
          </w:p>
        </w:tc>
      </w:tr>
      <w:tr>
        <w:trPr>
          <w:cantSplit/>
        </w:trPr>
        <w:tc>
          <w:tcPr>
            <w:tcW w:type="dxa" w:w="294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Решение</w:t>
            </w:r>
          </w:p>
        </w:tc>
        <w:tc>
          <w:tcPr>
            <w:tcW w:type="dxa" w:w="680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Принято / доработка / приостановлено / закрыто без приёмки:</w:t>
              <w:br/>
              <w:t>________________________________________________</w:t>
            </w:r>
          </w:p>
        </w:tc>
      </w:tr>
      <w:tr>
        <w:trPr>
          <w:cantSplit/>
        </w:trPr>
        <w:tc>
          <w:tcPr>
            <w:tcW w:type="dxa" w:w="294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Исправления и поддержка</w:t>
            </w:r>
          </w:p>
        </w:tc>
        <w:tc>
          <w:tcPr>
            <w:tcW w:type="dxa" w:w="680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Что, кто, к какому сроку; предоставляемая помощь:</w:t>
              <w:br/>
              <w:t>________________________________________________</w:t>
            </w:r>
          </w:p>
        </w:tc>
      </w:tr>
      <w:tr>
        <w:trPr>
          <w:cantSplit/>
        </w:trPr>
        <w:tc>
          <w:tcPr>
            <w:tcW w:type="dxa" w:w="294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Публикация и права</w:t>
            </w:r>
          </w:p>
        </w:tc>
        <w:tc>
          <w:tcPr>
            <w:tcW w:type="dxa" w:w="680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Отдельное решение, основания, объём и режим доступа:</w:t>
              <w:br/>
              <w:t>________________________________________________</w:t>
            </w:r>
          </w:p>
        </w:tc>
      </w:tr>
      <w:tr>
        <w:trPr>
          <w:cantSplit/>
        </w:trPr>
        <w:tc>
          <w:tcPr>
            <w:tcW w:type="dxa" w:w="294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Возражение и рассмотрение</w:t>
            </w:r>
          </w:p>
        </w:tc>
        <w:tc>
          <w:tcPr>
            <w:tcW w:type="dxa" w:w="680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Контакт, порядок, другой проверяющий при необходимости:</w:t>
              <w:br/>
              <w:t>________________________________________________</w:t>
            </w:r>
          </w:p>
        </w:tc>
      </w:tr>
      <w:tr>
        <w:trPr>
          <w:cantSplit/>
        </w:trPr>
        <w:tc>
          <w:tcPr>
            <w:tcW w:type="dxa" w:w="294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Выбор следующего шага</w:t>
            </w:r>
          </w:p>
        </w:tc>
        <w:tc>
          <w:tcPr>
            <w:tcW w:type="dxa" w:w="680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Продолжить / изменить / пауза / завершить; решение участника:</w:t>
              <w:br/>
              <w:t>________________________________________________</w:t>
            </w:r>
          </w:p>
        </w:tc>
      </w:tr>
    </w:tbl>
    <w:p>
      <w:pPr>
        <w:pStyle w:val="Small"/>
        <w:spacing w:after="20"/>
      </w:pPr>
    </w:p>
    <w:p>
      <w:pPr>
        <w:pStyle w:val="Small"/>
      </w:pPr>
      <w:r>
        <w:t>Автор ознакомлен: ______________  Проверяющий: ______________  Дата: __________</w:t>
      </w:r>
    </w:p>
    <w:p>
      <w:pPr>
        <w:pStyle w:val="Small"/>
      </w:pPr>
      <w:r>
        <w:t>Приёмка не равна разрешению на публикацию. Исправления оформляются новой версией; источник замечания и основание изменения сохраняются.</w:t>
      </w:r>
    </w:p>
    <w:p>
      <w:r>
        <w:br w:type="page"/>
      </w:r>
    </w:p>
    <w:p>
      <w:pPr>
        <w:pStyle w:val="Eyebrow"/>
      </w:pPr>
      <w:r>
        <w:t>ФОРМА З / F-PRC-08</w:t>
      </w:r>
    </w:p>
    <w:p>
      <w:bookmarkStart w:id="36" w:name="pg_36"/>
      <w:pPr>
        <w:pStyle w:val="Heading1"/>
      </w:pPr>
      <w:r>
        <w:t>Карточка опыта для Архива</w:t>
      </w:r>
      <w:bookmarkEnd w:id="36"/>
    </w:p>
    <w:p>
      <w:pPr>
        <w:pStyle w:val="Small"/>
      </w:pPr>
      <w:r>
        <w:t>Сохраняется способ действия вместе с условиями повторения, результатом и ограничениями. Перед размещением проверяются состав сведений и права доступа.</w:t>
      </w:r>
    </w:p>
    <w:tbl>
      <w:tblPr>
        <w:tblW w:type="auto" w:w="0"/>
        <w:jc w:val="center"/>
        <w:tblLayout w:type="fixed"/>
        <w:tblLook w:firstColumn="1" w:firstRow="1" w:lastColumn="0" w:lastRow="0" w:noHBand="0" w:noVBand="1" w:val="04A0"/>
      </w:tblPr>
      <w:tblGrid>
        <w:gridCol w:w="3118"/>
        <w:gridCol w:w="6633"/>
      </w:tblGrid>
      <w:tr>
        <w:trPr>
          <w:cantSplit/>
          <w:tblHeader/>
        </w:trPr>
        <w:tc>
          <w:tcPr>
            <w:tcW w:type="dxa" w:w="3118"/>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Поле</w:t>
            </w:r>
          </w:p>
        </w:tc>
        <w:tc>
          <w:tcPr>
            <w:tcW w:type="dxa" w:w="6633"/>
            <w:vAlign w:val="center"/>
            <w:tcMar>
              <w:top w:w="75" w:type="dxa"/>
              <w:left w:w="100" w:type="dxa"/>
              <w:bottom w:w="75" w:type="dxa"/>
              <w:right w:w="100" w:type="dxa"/>
            </w:tcMar>
            <w:shd w:fill="173A55"/>
            <w:tcBorders>
              <w:bottom w:val="single" w:sz="3" w:color="D5E1E8"/>
            </w:tcBorders>
          </w:tcPr>
          <w:p>
            <w:pPr>
              <w:pStyle w:val="Tabletext"/>
              <w:spacing w:line="247" w:lineRule="auto"/>
            </w:pPr>
            <w:r>
              <w:rPr>
                <w:b/>
                <w:color w:val="FFFFFF"/>
                <w:sz w:val="20"/>
              </w:rPr>
              <w:t>Запись</w:t>
            </w:r>
          </w:p>
        </w:tc>
      </w:tr>
      <w:tr>
        <w:trPr>
          <w:cantSplit/>
        </w:trPr>
        <w:tc>
          <w:tcPr>
            <w:tcW w:type="dxa" w:w="311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Код / название / версия</w:t>
            </w:r>
          </w:p>
        </w:tc>
        <w:tc>
          <w:tcPr>
            <w:tcW w:type="dxa" w:w="663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________________________________________________</w:t>
              <w:br/>
              <w:t>________________________________________________</w:t>
            </w:r>
          </w:p>
        </w:tc>
      </w:tr>
      <w:tr>
        <w:trPr>
          <w:cantSplit/>
        </w:trPr>
        <w:tc>
          <w:tcPr>
            <w:tcW w:type="dxa" w:w="311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Проект и связи</w:t>
            </w:r>
          </w:p>
        </w:tc>
        <w:tc>
          <w:tcPr>
            <w:tcW w:type="dxa" w:w="663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Основной D-код, связанные направления, исходный паспорт:</w:t>
              <w:br/>
              <w:t>________________________________________________</w:t>
            </w:r>
          </w:p>
        </w:tc>
      </w:tr>
      <w:tr>
        <w:trPr>
          <w:cantSplit/>
        </w:trPr>
        <w:tc>
          <w:tcPr>
            <w:tcW w:type="dxa" w:w="311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Авторство и вклад</w:t>
            </w:r>
          </w:p>
        </w:tc>
        <w:tc>
          <w:tcPr>
            <w:tcW w:type="dxa" w:w="663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Автор, участники, наставник; помощь ИИ при наличии:</w:t>
              <w:br/>
              <w:t>________________________________________________</w:t>
            </w:r>
          </w:p>
        </w:tc>
      </w:tr>
      <w:tr>
        <w:trPr>
          <w:cantSplit/>
        </w:trPr>
        <w:tc>
          <w:tcPr>
            <w:tcW w:type="dxa" w:w="311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Задача и контекст</w:t>
            </w:r>
          </w:p>
        </w:tc>
        <w:tc>
          <w:tcPr>
            <w:tcW w:type="dxa" w:w="663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Для кого, где и при каких условиях выполнена работа:</w:t>
              <w:br/>
              <w:t>________________________________________________</w:t>
            </w:r>
          </w:p>
        </w:tc>
      </w:tr>
      <w:tr>
        <w:trPr>
          <w:cantSplit/>
        </w:trPr>
        <w:tc>
          <w:tcPr>
            <w:tcW w:type="dxa" w:w="311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Работа и метод</w:t>
            </w:r>
          </w:p>
        </w:tc>
        <w:tc>
          <w:tcPr>
            <w:tcW w:type="dxa" w:w="663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Что сделано; последовательность; критерий результата:</w:t>
              <w:br/>
              <w:t>________________________________________________</w:t>
            </w:r>
          </w:p>
        </w:tc>
      </w:tr>
      <w:tr>
        <w:trPr>
          <w:cantSplit/>
        </w:trPr>
        <w:tc>
          <w:tcPr>
            <w:tcW w:type="dxa" w:w="311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Источники и первичные данные</w:t>
            </w:r>
          </w:p>
        </w:tc>
        <w:tc>
          <w:tcPr>
            <w:tcW w:type="dxa" w:w="663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Ссылки, архивные шифры, файлы; доступность для проверки:</w:t>
              <w:br/>
              <w:t>________________________________________________</w:t>
            </w:r>
          </w:p>
        </w:tc>
      </w:tr>
      <w:tr>
        <w:trPr>
          <w:cantSplit/>
        </w:trPr>
        <w:tc>
          <w:tcPr>
            <w:tcW w:type="dxa" w:w="311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Ошибки и ограничения</w:t>
            </w:r>
          </w:p>
        </w:tc>
        <w:tc>
          <w:tcPr>
            <w:tcW w:type="dxa" w:w="663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Что не получилось или осталось непроверенным:</w:t>
              <w:br/>
              <w:t>________________________________________________</w:t>
            </w:r>
          </w:p>
        </w:tc>
      </w:tr>
      <w:tr>
        <w:trPr>
          <w:cantSplit/>
        </w:trPr>
        <w:tc>
          <w:tcPr>
            <w:tcW w:type="dxa" w:w="311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Права и доступ</w:t>
            </w:r>
          </w:p>
        </w:tc>
        <w:tc>
          <w:tcPr>
            <w:tcW w:type="dxa" w:w="663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Основания хранения, использования и распространения:</w:t>
              <w:br/>
              <w:t>________________________________________________</w:t>
            </w:r>
          </w:p>
        </w:tc>
      </w:tr>
      <w:tr>
        <w:trPr>
          <w:cantSplit/>
        </w:trPr>
        <w:tc>
          <w:tcPr>
            <w:tcW w:type="dxa" w:w="311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Условия повторения</w:t>
            </w:r>
          </w:p>
        </w:tc>
        <w:tc>
          <w:tcPr>
            <w:tcW w:type="dxa" w:w="663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Знания, ресурсы, помощь, допустимые условия и ограничения:</w:t>
              <w:br/>
              <w:t>________________________________________________</w:t>
            </w:r>
          </w:p>
        </w:tc>
      </w:tr>
      <w:tr>
        <w:trPr>
          <w:cantSplit/>
        </w:trPr>
        <w:tc>
          <w:tcPr>
            <w:tcW w:type="dxa" w:w="3118"/>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Хранение и пересмотр</w:t>
            </w:r>
          </w:p>
        </w:tc>
        <w:tc>
          <w:tcPr>
            <w:tcW w:type="dxa" w:w="6633"/>
            <w:vAlign w:val="center"/>
            <w:tcMar>
              <w:top w:w="75" w:type="dxa"/>
              <w:left w:w="100" w:type="dxa"/>
              <w:bottom w:w="75" w:type="dxa"/>
              <w:right w:w="100" w:type="dxa"/>
            </w:tcMar>
            <w:shd w:fill="FFFFFF"/>
            <w:tcBorders>
              <w:bottom w:val="single" w:sz="3" w:color="D5E1E8"/>
            </w:tcBorders>
          </w:tcPr>
          <w:p>
            <w:pPr>
              <w:pStyle w:val="Tabletext"/>
              <w:spacing w:line="247" w:lineRule="auto"/>
            </w:pPr>
            <w:r>
              <w:rPr>
                <w:b w:val="0"/>
                <w:color w:val="243B4B"/>
                <w:sz w:val="20"/>
              </w:rPr>
              <w:t>Срок, основание, ответственный; удаление или обезличивание:</w:t>
              <w:br/>
              <w:t>________________________________________________</w:t>
            </w:r>
          </w:p>
        </w:tc>
      </w:tr>
      <w:tr>
        <w:trPr>
          <w:cantSplit/>
        </w:trPr>
        <w:tc>
          <w:tcPr>
            <w:tcW w:type="dxa" w:w="3118"/>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Исправления и контакт</w:t>
            </w:r>
          </w:p>
        </w:tc>
        <w:tc>
          <w:tcPr>
            <w:tcW w:type="dxa" w:w="6633"/>
            <w:vAlign w:val="center"/>
            <w:tcMar>
              <w:top w:w="75" w:type="dxa"/>
              <w:left w:w="100" w:type="dxa"/>
              <w:bottom w:w="75" w:type="dxa"/>
              <w:right w:w="100" w:type="dxa"/>
            </w:tcMar>
            <w:shd w:fill="F1F6F9"/>
            <w:tcBorders>
              <w:bottom w:val="single" w:sz="3" w:color="D5E1E8"/>
            </w:tcBorders>
          </w:tcPr>
          <w:p>
            <w:pPr>
              <w:pStyle w:val="Tabletext"/>
              <w:spacing w:line="247" w:lineRule="auto"/>
            </w:pPr>
            <w:r>
              <w:rPr>
                <w:b w:val="0"/>
                <w:color w:val="243B4B"/>
                <w:sz w:val="20"/>
              </w:rPr>
              <w:t>Как сообщить об ошибке; кто и когда обновляет карточку:</w:t>
              <w:br/>
              <w:t>________________________________________________</w:t>
            </w:r>
          </w:p>
        </w:tc>
      </w:tr>
    </w:tbl>
    <w:p>
      <w:pPr>
        <w:pStyle w:val="Small"/>
        <w:spacing w:after="20"/>
      </w:pPr>
    </w:p>
    <w:p>
      <w:pPr>
        <w:pStyle w:val="Small"/>
      </w:pPr>
      <w:r>
        <w:t>Хранитель: ______________  Дата: __________  Статус карточки: ______________</w:t>
      </w:r>
    </w:p>
    <w:p>
      <w:pPr>
        <w:pStyle w:val="Small"/>
      </w:pPr>
      <w:r>
        <w:t>В карточку не включаются избыточные персональные сведения. Форма не заменяет требуемых правовых оснований обработки данных и использования материалов.</w:t>
      </w:r>
    </w:p>
    <w:p>
      <w:r>
        <w:br w:type="page"/>
      </w:r>
    </w:p>
    <w:p>
      <w:pPr>
        <w:pStyle w:val="Eyebrow"/>
      </w:pPr>
      <w:r>
        <w:t>ИСТОЧНИКИ / S01–S06</w:t>
      </w:r>
    </w:p>
    <w:p>
      <w:bookmarkStart w:id="37" w:name="pg_37"/>
      <w:pPr>
        <w:pStyle w:val="Heading1"/>
      </w:pPr>
      <w:r>
        <w:t>Методика и исследования</w:t>
      </w:r>
      <w:bookmarkEnd w:id="37"/>
    </w:p>
    <w:p>
      <w:pPr>
        <w:pStyle w:val="Small"/>
      </w:pPr>
      <w:r>
        <w:t>Дата обращения: 17 сентября 2026 года. Источники задают отдельные методические ориентиры, но не подтверждают результативность ФЕНИКС. Сценарии, формуляры и примеры тома — проектные решения.</w:t>
      </w:r>
    </w:p>
    <w:p>
      <w:pPr>
        <w:pStyle w:val="Heading2"/>
      </w:pPr>
      <w:r>
        <w:rPr>
          <w:sz w:val="23"/>
        </w:rPr>
        <w:t>S01 / UNESCO Institute for Lifelong Learning</w:t>
      </w:r>
    </w:p>
    <w:p>
      <w:pPr>
        <w:pStyle w:val="Small"/>
      </w:pPr>
      <w:r>
        <w:t>«Lifelong learning». Обучение охватывает разные возрасты, контексты и формы. Использовано для построения добровольного маршрута, а не единой нормы жизненного развития.</w:t>
      </w:r>
    </w:p>
    <w:p>
      <w:pPr>
        <w:pStyle w:val="Small"/>
      </w:pPr>
      <w:hyperlink r:id="rId12">
        <w:r>
          <w:rPr>
            <w:color w:val="173A55"/>
            <w:u w:val="single"/>
          </w:rPr>
          <w:t>Открыть источник</w:t>
        </w:r>
      </w:hyperlink>
    </w:p>
    <w:p>
      <w:pPr>
        <w:pStyle w:val="Heading2"/>
      </w:pPr>
      <w:r>
        <w:rPr>
          <w:sz w:val="23"/>
        </w:rPr>
        <w:t>S02 / Культура и художественное образование</w:t>
      </w:r>
    </w:p>
    <w:p>
      <w:pPr>
        <w:pStyle w:val="Small"/>
      </w:pPr>
      <w:r>
        <w:t>UNESCO. «UNESCO Member States adopt global framework to strengthen culture and arts education», 15.02.2024. Официальное сообщение о рамочной программе; источник о связи культурной практики и образования.</w:t>
      </w:r>
    </w:p>
    <w:p>
      <w:pPr>
        <w:pStyle w:val="Small"/>
      </w:pPr>
      <w:hyperlink r:id="rId13">
        <w:r>
          <w:rPr>
            <w:color w:val="173A55"/>
            <w:u w:val="single"/>
          </w:rPr>
          <w:t>Открыть источник</w:t>
        </w:r>
      </w:hyperlink>
    </w:p>
    <w:p>
      <w:pPr>
        <w:pStyle w:val="Heading2"/>
      </w:pPr>
      <w:r>
        <w:rPr>
          <w:sz w:val="23"/>
        </w:rPr>
        <w:t>S03 / Рекомендация об открытой науке</w:t>
      </w:r>
    </w:p>
    <w:p>
      <w:pPr>
        <w:pStyle w:val="Small"/>
      </w:pPr>
      <w:r>
        <w:t>UNESCO, 23.11.2021. Методическая опора для прозрачности происхождения, методов и ответственного повторного использования материалов. Не отменяет ограничений доступа и прав третьих лиц.</w:t>
      </w:r>
    </w:p>
    <w:p>
      <w:pPr>
        <w:pStyle w:val="Small"/>
      </w:pPr>
      <w:hyperlink r:id="rId14">
        <w:r>
          <w:rPr>
            <w:color w:val="173A55"/>
            <w:u w:val="single"/>
          </w:rPr>
          <w:t>Открыть источник</w:t>
        </w:r>
      </w:hyperlink>
    </w:p>
    <w:p>
      <w:pPr>
        <w:pStyle w:val="Heading2"/>
      </w:pPr>
      <w:r>
        <w:rPr>
          <w:sz w:val="23"/>
        </w:rPr>
        <w:t>S04 / Открытые образовательные ресурсы</w:t>
      </w:r>
    </w:p>
    <w:p>
      <w:pPr>
        <w:pStyle w:val="Small"/>
      </w:pPr>
      <w:r>
        <w:t>UNESCO. Recommendation on Open Educational Resources (OER), 2019. Общественное достояние и открытые лицензии различаются с простым бесплатным доступом для чтения.</w:t>
      </w:r>
    </w:p>
    <w:p>
      <w:pPr>
        <w:pStyle w:val="Small"/>
      </w:pPr>
      <w:hyperlink r:id="rId15">
        <w:r>
          <w:rPr>
            <w:color w:val="173A55"/>
            <w:u w:val="single"/>
          </w:rPr>
          <w:t>Открыть источник</w:t>
        </w:r>
      </w:hyperlink>
    </w:p>
    <w:p>
      <w:pPr>
        <w:pStyle w:val="Heading2"/>
      </w:pPr>
      <w:r>
        <w:rPr>
          <w:sz w:val="23"/>
        </w:rPr>
        <w:t>S05 / Исследование воспроизведения изученного</w:t>
      </w:r>
    </w:p>
    <w:p>
      <w:pPr>
        <w:pStyle w:val="Small"/>
      </w:pPr>
      <w:r>
        <w:t>Karpicke J. D., Blunt J. R. Retrieval practice produces more learning than elaborative studying with concept mapping. Science. 2011;331(6018):772–775. DOI: 10.1126/science.1199327. Выводы относятся к условиям описанных экспериментов.</w:t>
      </w:r>
    </w:p>
    <w:p>
      <w:pPr>
        <w:pStyle w:val="Small"/>
      </w:pPr>
      <w:hyperlink r:id="rId16">
        <w:r>
          <w:rPr>
            <w:color w:val="173A55"/>
            <w:u w:val="single"/>
          </w:rPr>
          <w:t>Открыть источник</w:t>
        </w:r>
      </w:hyperlink>
    </w:p>
    <w:p>
      <w:pPr>
        <w:pStyle w:val="Heading2"/>
      </w:pPr>
      <w:r>
        <w:rPr>
          <w:sz w:val="23"/>
        </w:rPr>
        <w:t>S06 / Методологический комментарий</w:t>
      </w:r>
    </w:p>
    <w:p>
      <w:pPr>
        <w:pStyle w:val="Small"/>
      </w:pPr>
      <w:r>
        <w:t>Mintzes J. J. et al. Comment on “Retrieval practice produces more learning than elaborative studying with concept mapping”. Science. 2011;334(6055):453. DOI: 10.1126/science.1203698. Учитывается как опубликованная критика сравнения методов в S05.</w:t>
      </w:r>
    </w:p>
    <w:p>
      <w:pPr>
        <w:pStyle w:val="Small"/>
      </w:pPr>
      <w:hyperlink r:id="rId17">
        <w:r>
          <w:rPr>
            <w:color w:val="173A55"/>
            <w:u w:val="single"/>
          </w:rPr>
          <w:t>Открыть источник</w:t>
        </w:r>
      </w:hyperlink>
    </w:p>
    <w:p>
      <w:pPr>
        <w:pStyle w:val="Small"/>
      </w:pPr>
      <w:r>
        <w:t>Учебная методика, исследовательская публикация и независимая оценка программы — разные виды основания. Этот том не подменяет одно другим.</w:t>
      </w:r>
    </w:p>
    <w:p>
      <w:r>
        <w:br w:type="page"/>
      </w:r>
    </w:p>
    <w:p>
      <w:pPr>
        <w:pStyle w:val="Eyebrow"/>
      </w:pPr>
      <w:r>
        <w:t>ИСТОЧНИКИ / S07–S11</w:t>
      </w:r>
    </w:p>
    <w:p>
      <w:bookmarkStart w:id="38" w:name="pg_38"/>
      <w:pPr>
        <w:pStyle w:val="Heading1"/>
      </w:pPr>
      <w:r>
        <w:t>Единицы, право и преемственность</w:t>
      </w:r>
      <w:bookmarkEnd w:id="38"/>
    </w:p>
    <w:p>
      <w:pPr>
        <w:pStyle w:val="Heading2"/>
      </w:pPr>
      <w:r>
        <w:rPr>
          <w:sz w:val="23"/>
        </w:rPr>
        <w:t>S07 / Единицы энергии и мощности</w:t>
      </w:r>
    </w:p>
    <w:p>
      <w:pPr>
        <w:pStyle w:val="Small"/>
      </w:pPr>
      <w:r>
        <w:t>NIST, справочная статья об энергии; BIPM, раздел единиц измерения. Джоуль — единица энергии; ватт — джоуль в секунду. Расчёты на стр. 20 выполнены для условных исходных данных.</w:t>
      </w:r>
    </w:p>
    <w:p>
      <w:pPr>
        <w:pStyle w:val="Small"/>
      </w:pPr>
      <w:hyperlink r:id="rId18">
        <w:r>
          <w:rPr>
            <w:color w:val="173A55"/>
            <w:u w:val="single"/>
          </w:rPr>
          <w:t>Открыть источник</w:t>
        </w:r>
      </w:hyperlink>
      <w:r>
        <w:t xml:space="preserve">  ·  </w:t>
      </w:r>
      <w:hyperlink r:id="rId19">
        <w:r>
          <w:rPr>
            <w:color w:val="173A55"/>
            <w:u w:val="single"/>
          </w:rPr>
          <w:t>Единицы BIPM</w:t>
        </w:r>
      </w:hyperlink>
    </w:p>
    <w:p>
      <w:pPr>
        <w:pStyle w:val="Heading2"/>
      </w:pPr>
      <w:r>
        <w:rPr>
          <w:sz w:val="23"/>
        </w:rPr>
        <w:t>S08 / Этика искусственного интеллекта</w:t>
      </w:r>
    </w:p>
    <w:p>
      <w:pPr>
        <w:pStyle w:val="Small"/>
      </w:pPr>
      <w:r>
        <w:t>UNESCO. Recommendation on the Ethics of Artificial Intelligence, 2021. Международный методический ориентир: участие человека, ответственность и рассмотрение ограничений технологии.</w:t>
      </w:r>
    </w:p>
    <w:p>
      <w:pPr>
        <w:pStyle w:val="Small"/>
      </w:pPr>
      <w:hyperlink r:id="rId20">
        <w:r>
          <w:rPr>
            <w:color w:val="173A55"/>
            <w:u w:val="single"/>
          </w:rPr>
          <w:t>Открыть источник</w:t>
        </w:r>
      </w:hyperlink>
    </w:p>
    <w:p>
      <w:pPr>
        <w:pStyle w:val="Heading2"/>
      </w:pPr>
      <w:r>
        <w:rPr>
          <w:sz w:val="23"/>
        </w:rPr>
        <w:t>S09 / Образование в Российской Федерации</w:t>
      </w:r>
    </w:p>
    <w:p>
      <w:pPr>
        <w:pStyle w:val="Small"/>
      </w:pPr>
      <w:r>
        <w:t>Федеральный закон от 29.12.2012 № 273-ФЗ. Карточка первоначального официального опубликования. Для запуска проверяются действующая редакция и фактический правовой режим деятельности.</w:t>
      </w:r>
    </w:p>
    <w:p>
      <w:pPr>
        <w:pStyle w:val="Small"/>
      </w:pPr>
      <w:hyperlink r:id="rId21">
        <w:r>
          <w:rPr>
            <w:color w:val="173A55"/>
            <w:u w:val="single"/>
          </w:rPr>
          <w:t>Открыть источник</w:t>
        </w:r>
      </w:hyperlink>
    </w:p>
    <w:p>
      <w:pPr>
        <w:pStyle w:val="Heading2"/>
      </w:pPr>
      <w:r>
        <w:rPr>
          <w:sz w:val="23"/>
        </w:rPr>
        <w:t>S10 / Персональные данные</w:t>
      </w:r>
    </w:p>
    <w:p>
      <w:pPr>
        <w:pStyle w:val="Small"/>
      </w:pPr>
      <w:r>
        <w:t>Федеральный закон от 27.07.2006 № 152-ФЗ; текст на сайте Минтруда России. Используется для правовой навигации; не заявляется как полная актуальная редакция на дату всех будущих операций.</w:t>
      </w:r>
    </w:p>
    <w:p>
      <w:pPr>
        <w:pStyle w:val="Small"/>
      </w:pPr>
      <w:hyperlink r:id="rId22">
        <w:r>
          <w:rPr>
            <w:color w:val="173A55"/>
            <w:u w:val="single"/>
          </w:rPr>
          <w:t>Открыть источник</w:t>
        </w:r>
      </w:hyperlink>
    </w:p>
    <w:p>
      <w:pPr>
        <w:pStyle w:val="Heading2"/>
      </w:pPr>
      <w:r>
        <w:rPr>
          <w:sz w:val="23"/>
        </w:rPr>
        <w:t>S11 / Интеллектуальные права</w:t>
      </w:r>
    </w:p>
    <w:p>
      <w:pPr>
        <w:pStyle w:val="Small"/>
      </w:pPr>
      <w:r>
        <w:t>Роспатент, раздел нормативных правовых актов Российской Федерации, включая часть IV ГК РФ. Применимые редакции, исключения и основания конкретного использования проверяются отдельно.</w:t>
      </w:r>
    </w:p>
    <w:p>
      <w:pPr>
        <w:pStyle w:val="Small"/>
      </w:pPr>
      <w:hyperlink r:id="rId23">
        <w:r>
          <w:rPr>
            <w:color w:val="173A55"/>
            <w:u w:val="single"/>
          </w:rPr>
          <w:t>Открыть источник</w:t>
        </w:r>
      </w:hyperlink>
    </w:p>
    <w:p>
      <w:pPr>
        <w:pStyle w:val="Heading2"/>
      </w:pPr>
      <w:r>
        <w:t>Внутреннее основание серии</w:t>
      </w:r>
    </w:p>
    <w:p>
      <w:pPr>
        <w:pStyle w:val="Small"/>
      </w:pPr>
      <w:r>
        <w:t>Исходный документ: «ФЕНИКС — Основы», FEN-BAS-001, версия 1.0. Из него сохранены P01–P13, D01–D19, M01–M13, Q01–Q20 и пять этапов. Связанные модули: «Знания и энергия», «Конструктор идеального эталона», «Основы саморазвития. Культура и наука».</w:t>
      </w:r>
    </w:p>
    <w:p>
      <w:pPr>
        <w:pStyle w:val="Small"/>
      </w:pPr>
      <w:r>
        <w:t>Иллюстративные плакаты не заменяют классификатор исходного Word-документа. Новые связи и практики в этом томе не меняют нумерацию направлений.</w:t>
      </w:r>
    </w:p>
    <w:p>
      <w:pPr>
        <w:pStyle w:val="Eyebrow"/>
      </w:pPr>
      <w:r>
        <w:t>ФЕНИКС • ТОМ II • ОТ ЛИЧНОГО ВЫБОРА К ОБЩЕМУ ДЕЛУ</w:t>
      </w:r>
    </w:p>
    <w:sectPr w:rsidR="00FC693F" w:rsidRPr="0006063C" w:rsidSect="00034616">
      <w:headerReference w:type="default" r:id="rId9"/>
      <w:footerReference w:type="default" r:id="rId10"/>
      <w:footerReference w:type="first" r:id="rId11"/>
      <w:pgSz w:w="11906" w:h="16838"/>
      <w:pgMar w:top="1020" w:right="1020" w:bottom="1020" w:left="1134" w:header="425" w:footer="425"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tabs>
        <w:tab w:pos="9751" w:val="right"/>
      </w:tabs>
    </w:pPr>
    <w:r>
      <w:t>FEN-PRC-002 · 1.0  |  17.09.2026</w:t>
      <w:tab/>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pPr>
    <w:r>
      <w:t>РАБОЧАЯ КОНЦЕПЦИЯ 1.0  •  17 СЕНТЯБРЯ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spacing w:after="60"/>
      <w:pBdr>
        <w:bottom w:val="single" w:sz="5" w:color="B58436"/>
      </w:pBdr>
    </w:pPr>
    <w:r>
      <w:rPr>
        <w:b/>
      </w:rPr>
      <w:t>ФЕНИКС  /  ЭВОЛЮЦИОННАЯ СИСТЕМА</w:t>
    </w:r>
    <w:r>
      <w:t xml:space="preserve">    ТОМ II · ПРАКТИКА</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before="0" w:line="259" w:lineRule="auto"/>
    </w:pPr>
    <w:rPr>
      <w:rFonts w:ascii="Calibri" w:hAnsi="Calibri"/>
      <w:b w:val="0"/>
      <w:color w:val="243B4B"/>
      <w:sz w:val="23"/>
      <w:lang w:val="ru-R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40" w:line="259" w:lineRule="auto"/>
      <w:outlineLvl w:val="0"/>
    </w:pPr>
    <w:rPr>
      <w:rFonts w:asciiTheme="majorHAnsi" w:eastAsiaTheme="majorEastAsia" w:hAnsiTheme="majorHAnsi" w:cstheme="majorBidi" w:ascii="Calibri" w:hAnsi="Calibri"/>
      <w:b/>
      <w:bCs/>
      <w:color w:val="173A55"/>
      <w:sz w:val="46"/>
      <w:szCs w:val="28"/>
    </w:rPr>
  </w:style>
  <w:style w:type="paragraph" w:styleId="Heading2">
    <w:name w:val="heading 2"/>
    <w:basedOn w:val="Normal"/>
    <w:next w:val="Normal"/>
    <w:link w:val="Heading2Char"/>
    <w:uiPriority w:val="9"/>
    <w:unhideWhenUsed/>
    <w:qFormat/>
    <w:rsid w:val="00FC693F"/>
    <w:pPr>
      <w:keepNext/>
      <w:keepLines/>
      <w:spacing w:before="180" w:after="100" w:line="259" w:lineRule="auto"/>
      <w:outlineLvl w:val="1"/>
    </w:pPr>
    <w:rPr>
      <w:rFonts w:asciiTheme="majorHAnsi" w:eastAsiaTheme="majorEastAsia" w:hAnsiTheme="majorHAnsi" w:cstheme="majorBidi" w:ascii="Calibri" w:hAnsi="Calibri"/>
      <w:b/>
      <w:bCs/>
      <w:color w:val="173A55"/>
      <w:sz w:val="26"/>
      <w:szCs w:val="26"/>
    </w:rPr>
  </w:style>
  <w:style w:type="paragraph" w:styleId="Heading3">
    <w:name w:val="heading 3"/>
    <w:basedOn w:val="Normal"/>
    <w:next w:val="Normal"/>
    <w:link w:val="Heading3Char"/>
    <w:uiPriority w:val="9"/>
    <w:unhideWhenUsed/>
    <w:qFormat/>
    <w:rsid w:val="00FC693F"/>
    <w:pPr>
      <w:keepNext/>
      <w:keepLines/>
      <w:spacing w:before="120" w:after="80" w:line="259" w:lineRule="auto"/>
      <w:outlineLvl w:val="2"/>
    </w:pPr>
    <w:rPr>
      <w:rFonts w:asciiTheme="majorHAnsi" w:eastAsiaTheme="majorEastAsia" w:hAnsiTheme="majorHAnsi" w:cstheme="majorBidi" w:ascii="Calibri" w:hAnsi="Calibri"/>
      <w:b/>
      <w:bCs/>
      <w:color w:val="173A5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59" w:lineRule="auto" w:before="0"/>
      <w:contextualSpacing/>
    </w:pPr>
    <w:rPr>
      <w:rFonts w:asciiTheme="majorHAnsi" w:eastAsiaTheme="majorEastAsia" w:hAnsiTheme="majorHAnsi" w:cstheme="majorBidi" w:ascii="Calibri" w:hAnsi="Calibri"/>
      <w:b/>
      <w:color w:val="173A55"/>
      <w:spacing w:val="5"/>
      <w:kern w:val="28"/>
      <w:sz w:val="7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80" w:before="0" w:line="259" w:lineRule="auto"/>
    </w:pPr>
    <w:rPr>
      <w:rFonts w:asciiTheme="majorHAnsi" w:eastAsiaTheme="majorEastAsia" w:hAnsiTheme="majorHAnsi" w:cstheme="majorBidi" w:ascii="Calibri" w:hAnsi="Calibri"/>
      <w:b w:val="0"/>
      <w:i/>
      <w:iCs/>
      <w:color w:val="173A55"/>
      <w:spacing w:val="15"/>
      <w:sz w:val="3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keepNext/>
      <w:spacing w:after="140" w:before="0" w:line="259" w:lineRule="auto"/>
    </w:pPr>
    <w:rPr>
      <w:rFonts w:ascii="Calibri" w:hAnsi="Calibri"/>
      <w:b/>
      <w:color w:val="B58436"/>
      <w:sz w:val="18"/>
    </w:rPr>
  </w:style>
  <w:style w:type="paragraph" w:customStyle="1" w:styleId="Lead">
    <w:name w:val="Lead"/>
    <w:pPr>
      <w:widowControl/>
      <w:spacing w:after="220" w:before="0" w:line="259" w:lineRule="auto"/>
    </w:pPr>
    <w:rPr>
      <w:rFonts w:ascii="Calibri" w:hAnsi="Calibri"/>
      <w:b w:val="0"/>
      <w:color w:val="173A55"/>
      <w:sz w:val="26"/>
    </w:rPr>
  </w:style>
  <w:style w:type="paragraph" w:customStyle="1" w:styleId="Small">
    <w:name w:val="Small"/>
    <w:pPr>
      <w:widowControl/>
      <w:spacing w:after="100" w:before="0" w:line="259" w:lineRule="auto"/>
    </w:pPr>
    <w:rPr>
      <w:rFonts w:ascii="Calibri" w:hAnsi="Calibri"/>
      <w:b w:val="0"/>
      <w:color w:val="5D7180"/>
      <w:sz w:val="18"/>
    </w:rPr>
  </w:style>
  <w:style w:type="paragraph" w:customStyle="1" w:styleId="Formhint">
    <w:name w:val="Form hint"/>
    <w:pPr>
      <w:spacing w:after="80" w:before="0" w:line="259" w:lineRule="auto"/>
    </w:pPr>
    <w:rPr>
      <w:rFonts w:ascii="Calibri" w:hAnsi="Calibri"/>
      <w:b w:val="0"/>
      <w:color w:val="5D7180"/>
      <w:sz w:val="20"/>
    </w:rPr>
  </w:style>
  <w:style w:type="paragraph" w:customStyle="1" w:styleId="Tabletext">
    <w:name w:val="Table text"/>
    <w:pPr>
      <w:widowControl/>
      <w:spacing w:after="60" w:before="0" w:line="259" w:lineRule="auto"/>
    </w:pPr>
    <w:rPr>
      <w:rFonts w:ascii="Calibri" w:hAnsi="Calibri"/>
      <w:b w:val="0"/>
      <w:color w:val="243B4B"/>
      <w:sz w:val="21"/>
    </w:rPr>
  </w:style>
  <w:style w:type="paragraph" w:customStyle="1" w:styleId="TOC">
    <w:name w:val="TOC"/>
    <w:pPr>
      <w:spacing w:after="100" w:before="0" w:line="259" w:lineRule="auto"/>
    </w:pPr>
    <w:rPr>
      <w:rFonts w:ascii="Calibri" w:hAnsi="Calibri"/>
      <w:b w:val="0"/>
      <w:color w:val="173A55"/>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yperlink" Target="https://www.uil.unesco.org/en/unesco-institute/mandate/lifelong-learning" TargetMode="External"/><Relationship Id="rId13" Type="http://schemas.openxmlformats.org/officeDocument/2006/relationships/hyperlink" Target="https://www.unesco.org/en/articles/unesco-member-states-adopt-global-framework-strengthen-culture-and-arts-education" TargetMode="External"/><Relationship Id="rId14" Type="http://schemas.openxmlformats.org/officeDocument/2006/relationships/hyperlink" Target="https://www.unesco.org/en/legal-affairs/recommendation-open-science" TargetMode="External"/><Relationship Id="rId15" Type="http://schemas.openxmlformats.org/officeDocument/2006/relationships/hyperlink" Target="https://www.unesco.org/en/legal-affairs/recommendation-open-educational-resources-oer" TargetMode="External"/><Relationship Id="rId16" Type="http://schemas.openxmlformats.org/officeDocument/2006/relationships/hyperlink" Target="https://pubmed.ncbi.nlm.nih.gov/21252317/" TargetMode="External"/><Relationship Id="rId17" Type="http://schemas.openxmlformats.org/officeDocument/2006/relationships/hyperlink" Target="https://pubmed.ncbi.nlm.nih.gov/22034416/" TargetMode="External"/><Relationship Id="rId18" Type="http://schemas.openxmlformats.org/officeDocument/2006/relationships/hyperlink" Target="https://www.nist.gov/glossary-term/26261" TargetMode="External"/><Relationship Id="rId19" Type="http://schemas.openxmlformats.org/officeDocument/2006/relationships/hyperlink" Target="https://www.bipm.org/en/measurement-units" TargetMode="External"/><Relationship Id="rId20" Type="http://schemas.openxmlformats.org/officeDocument/2006/relationships/hyperlink" Target="https://www.unesco.org/en/legal-affairs/recommendation-ethics-artificial-intelligence" TargetMode="External"/><Relationship Id="rId21" Type="http://schemas.openxmlformats.org/officeDocument/2006/relationships/hyperlink" Target="https://publication.pravo.gov.ru/document/0001201212300007" TargetMode="External"/><Relationship Id="rId22" Type="http://schemas.openxmlformats.org/officeDocument/2006/relationships/hyperlink" Target="https://mintrud.gov.ru/docs/laws/130" TargetMode="External"/><Relationship Id="rId23" Type="http://schemas.openxmlformats.org/officeDocument/2006/relationships/hyperlink" Target="https://rospatent.gov.ru/ru/docs/norm_doc_R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ФЕНИКС. Том II. Практика саморазвития</dc:title>
  <dc:subject>От личного выбора к общему делу. Практическое продолжение «Основ»</dc:subject>
  <dc:creator>ФЕНИКС</dc:creator>
  <cp:keywords>ФЕНИКС, саморазвитие, культура, наука, знания, энергия, Том II</cp:keywords>
  <dc:description>Рабочая концепция 1.0. Подготовлено 17 сентября 2026 года.</dc:description>
  <cp:lastModifiedBy/>
  <cp:revision>1</cp:revision>
  <dcterms:created xsi:type="dcterms:W3CDTF">2026-09-17T10:00:00Z</dcterms:created>
  <dcterms:modified xsi:type="dcterms:W3CDTF">2026-09-17T12:00:00Z</dcterms:modified>
  <cp:category/>
</cp:coreProperties>
</file>